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FD" w:rsidRDefault="000B21FD" w:rsidP="000B21FD">
      <w:pPr>
        <w:ind w:left="5040"/>
        <w:rPr>
          <w:b/>
          <w:sz w:val="24"/>
        </w:rPr>
      </w:pPr>
      <w:r>
        <w:rPr>
          <w:b/>
          <w:sz w:val="24"/>
        </w:rPr>
        <w:t>Agenda Item No</w:t>
      </w:r>
      <w:r w:rsidR="0005783B">
        <w:rPr>
          <w:b/>
          <w:sz w:val="24"/>
        </w:rPr>
        <w:t xml:space="preserve"> 8</w:t>
      </w:r>
    </w:p>
    <w:p w:rsidR="00CA6F56" w:rsidRDefault="00CA6F56">
      <w:pPr>
        <w:ind w:left="5040"/>
        <w:rPr>
          <w:b/>
          <w:sz w:val="24"/>
        </w:rPr>
      </w:pPr>
    </w:p>
    <w:p w:rsidR="00CA6F56" w:rsidRDefault="000B48B3">
      <w:pPr>
        <w:ind w:left="5040"/>
        <w:rPr>
          <w:b/>
          <w:sz w:val="24"/>
        </w:rPr>
      </w:pPr>
      <w:r>
        <w:rPr>
          <w:b/>
          <w:sz w:val="24"/>
        </w:rPr>
        <w:t xml:space="preserve">Planning and Development </w:t>
      </w:r>
      <w:r w:rsidR="00BD6C32">
        <w:rPr>
          <w:b/>
          <w:sz w:val="24"/>
        </w:rPr>
        <w:t>Board</w:t>
      </w:r>
    </w:p>
    <w:p w:rsidR="00CA6F56" w:rsidRDefault="00CA6F56">
      <w:pPr>
        <w:ind w:left="5040"/>
        <w:rPr>
          <w:b/>
          <w:sz w:val="24"/>
        </w:rPr>
      </w:pPr>
    </w:p>
    <w:p w:rsidR="00CA6F56" w:rsidRDefault="000B48B3">
      <w:pPr>
        <w:ind w:left="5040"/>
        <w:rPr>
          <w:b/>
          <w:sz w:val="24"/>
        </w:rPr>
      </w:pPr>
      <w:r>
        <w:rPr>
          <w:b/>
          <w:sz w:val="24"/>
        </w:rPr>
        <w:t>12 December 2016</w:t>
      </w:r>
    </w:p>
    <w:p w:rsidR="00CA6F56" w:rsidRDefault="00CA6F56">
      <w:pPr>
        <w:ind w:left="5040"/>
        <w:rPr>
          <w:b/>
          <w:sz w:val="24"/>
        </w:rPr>
      </w:pPr>
    </w:p>
    <w:tbl>
      <w:tblPr>
        <w:tblW w:w="0" w:type="auto"/>
        <w:tblLayout w:type="fixed"/>
        <w:tblLook w:val="0000" w:firstRow="0" w:lastRow="0" w:firstColumn="0" w:lastColumn="0" w:noHBand="0" w:noVBand="0"/>
      </w:tblPr>
      <w:tblGrid>
        <w:gridCol w:w="5058"/>
        <w:gridCol w:w="4186"/>
      </w:tblGrid>
      <w:tr w:rsidR="00CA6F56">
        <w:tc>
          <w:tcPr>
            <w:tcW w:w="5058" w:type="dxa"/>
          </w:tcPr>
          <w:p w:rsidR="00CA6F56" w:rsidRDefault="00CA6F56">
            <w:pPr>
              <w:rPr>
                <w:b/>
                <w:sz w:val="24"/>
              </w:rPr>
            </w:pPr>
            <w:r>
              <w:rPr>
                <w:b/>
                <w:sz w:val="24"/>
              </w:rPr>
              <w:t>Report of the</w:t>
            </w:r>
          </w:p>
          <w:p w:rsidR="006328DA" w:rsidRDefault="000B48B3">
            <w:pPr>
              <w:rPr>
                <w:b/>
                <w:sz w:val="24"/>
              </w:rPr>
            </w:pPr>
            <w:r>
              <w:rPr>
                <w:b/>
                <w:sz w:val="24"/>
              </w:rPr>
              <w:t>Head of Development Control</w:t>
            </w:r>
          </w:p>
        </w:tc>
        <w:tc>
          <w:tcPr>
            <w:tcW w:w="4186" w:type="dxa"/>
          </w:tcPr>
          <w:p w:rsidR="00CA6F56" w:rsidRDefault="000B48B3">
            <w:pPr>
              <w:ind w:left="-18"/>
              <w:rPr>
                <w:b/>
                <w:sz w:val="24"/>
              </w:rPr>
            </w:pPr>
            <w:r>
              <w:rPr>
                <w:b/>
                <w:sz w:val="24"/>
              </w:rPr>
              <w:t>Appeals Update</w:t>
            </w:r>
          </w:p>
        </w:tc>
      </w:tr>
    </w:tbl>
    <w:p w:rsidR="00CA6F56" w:rsidRPr="000778EB" w:rsidRDefault="00CA6F56">
      <w:pPr>
        <w:rPr>
          <w:b/>
          <w:sz w:val="24"/>
          <w:szCs w:val="24"/>
        </w:rPr>
      </w:pPr>
    </w:p>
    <w:p w:rsidR="00CA6F56" w:rsidRPr="000778EB" w:rsidRDefault="00CA6F56">
      <w:pPr>
        <w:ind w:left="720" w:hanging="720"/>
        <w:rPr>
          <w:b/>
          <w:sz w:val="24"/>
          <w:szCs w:val="24"/>
        </w:rPr>
      </w:pPr>
      <w:r w:rsidRPr="000778EB">
        <w:rPr>
          <w:sz w:val="24"/>
          <w:szCs w:val="24"/>
        </w:rPr>
        <w:t>1</w:t>
      </w:r>
      <w:r w:rsidRPr="000778EB">
        <w:rPr>
          <w:sz w:val="24"/>
          <w:szCs w:val="24"/>
        </w:rPr>
        <w:tab/>
      </w:r>
      <w:r w:rsidRPr="000778EB">
        <w:rPr>
          <w:b/>
          <w:sz w:val="24"/>
          <w:szCs w:val="24"/>
        </w:rPr>
        <w:t>Summary</w:t>
      </w:r>
    </w:p>
    <w:p w:rsidR="00CA6F56" w:rsidRPr="000778EB" w:rsidRDefault="00CA6F56">
      <w:pPr>
        <w:ind w:left="720" w:hanging="720"/>
        <w:rPr>
          <w:b/>
          <w:sz w:val="24"/>
          <w:szCs w:val="24"/>
        </w:rPr>
      </w:pPr>
    </w:p>
    <w:p w:rsidR="000B48B3" w:rsidRPr="000B48B3" w:rsidRDefault="006328DA" w:rsidP="000B48B3">
      <w:pPr>
        <w:jc w:val="both"/>
        <w:rPr>
          <w:rFonts w:eastAsia="Calibri" w:cs="Arial"/>
          <w:sz w:val="24"/>
          <w:szCs w:val="24"/>
        </w:rPr>
      </w:pPr>
      <w:r>
        <w:rPr>
          <w:sz w:val="24"/>
          <w:szCs w:val="24"/>
        </w:rPr>
        <w:t>1.1</w:t>
      </w:r>
      <w:r>
        <w:rPr>
          <w:sz w:val="24"/>
          <w:szCs w:val="24"/>
        </w:rPr>
        <w:tab/>
      </w:r>
      <w:r w:rsidR="000B48B3" w:rsidRPr="000B48B3">
        <w:rPr>
          <w:rFonts w:eastAsia="Calibri" w:cs="Arial"/>
          <w:sz w:val="24"/>
          <w:szCs w:val="24"/>
        </w:rPr>
        <w:t>This is a progress report in respect of outstanding appeals.</w:t>
      </w:r>
    </w:p>
    <w:p w:rsidR="00CA6F56" w:rsidRPr="000778EB" w:rsidRDefault="00CA6F56">
      <w:pPr>
        <w:ind w:left="720" w:hanging="720"/>
        <w:jc w:val="both"/>
        <w:rPr>
          <w:sz w:val="24"/>
          <w:szCs w:val="24"/>
        </w:rPr>
      </w:pPr>
    </w:p>
    <w:p w:rsidR="00CA6F56" w:rsidRPr="000778EB" w:rsidRDefault="00CA6F56">
      <w:pPr>
        <w:ind w:left="720" w:hanging="720"/>
        <w:jc w:val="both"/>
        <w:rPr>
          <w:sz w:val="24"/>
          <w:szCs w:val="24"/>
        </w:rPr>
      </w:pPr>
    </w:p>
    <w:p w:rsidR="00BD6C32" w:rsidRPr="000778EB" w:rsidRDefault="00996C97">
      <w:pPr>
        <w:ind w:left="720" w:hanging="720"/>
        <w:jc w:val="both"/>
        <w:rPr>
          <w:sz w:val="24"/>
          <w:szCs w:val="24"/>
        </w:rPr>
      </w:pPr>
      <w:r>
        <w:rPr>
          <w:noProof/>
          <w:sz w:val="24"/>
          <w:szCs w:val="24"/>
          <w:lang w:eastAsia="en-GB"/>
        </w:rPr>
        <w:pict>
          <v:shapetype id="_x0000_t202" coordsize="21600,21600" o:spt="202" path="m,l,21600r21600,l21600,xe">
            <v:stroke joinstyle="miter"/>
            <v:path gradientshapeok="t" o:connecttype="rect"/>
          </v:shapetype>
          <v:shape id="_x0000_s1028" type="#_x0000_t202" style="position:absolute;left:0;text-align:left;margin-left:40.05pt;margin-top:.9pt;width:414pt;height:73.1pt;z-index:251654144" strokeweight="4.5pt">
            <v:stroke linestyle="thinThick"/>
            <v:textbox>
              <w:txbxContent>
                <w:p w:rsidR="00BD6C32" w:rsidRPr="000B21FD" w:rsidRDefault="00BD6C32">
                  <w:pPr>
                    <w:rPr>
                      <w:b/>
                      <w:sz w:val="24"/>
                      <w:szCs w:val="24"/>
                    </w:rPr>
                  </w:pPr>
                  <w:r w:rsidRPr="000B21FD">
                    <w:rPr>
                      <w:b/>
                      <w:sz w:val="24"/>
                      <w:szCs w:val="24"/>
                    </w:rPr>
                    <w:t>Recommendation to the Board</w:t>
                  </w:r>
                </w:p>
                <w:p w:rsidR="00BD6C32" w:rsidRDefault="00BD6C32">
                  <w:pPr>
                    <w:rPr>
                      <w:b/>
                      <w:sz w:val="24"/>
                      <w:szCs w:val="24"/>
                    </w:rPr>
                  </w:pPr>
                </w:p>
                <w:p w:rsidR="006076EA" w:rsidRPr="000B21FD" w:rsidRDefault="000B48B3">
                  <w:pPr>
                    <w:rPr>
                      <w:b/>
                      <w:sz w:val="24"/>
                      <w:szCs w:val="24"/>
                    </w:rPr>
                  </w:pPr>
                  <w:r>
                    <w:rPr>
                      <w:b/>
                      <w:sz w:val="24"/>
                      <w:szCs w:val="24"/>
                    </w:rPr>
                    <w:t xml:space="preserve">That the </w:t>
                  </w:r>
                  <w:r w:rsidR="00E10D14">
                    <w:rPr>
                      <w:b/>
                      <w:sz w:val="24"/>
                      <w:szCs w:val="24"/>
                    </w:rPr>
                    <w:t>r</w:t>
                  </w:r>
                  <w:r>
                    <w:rPr>
                      <w:b/>
                      <w:sz w:val="24"/>
                      <w:szCs w:val="24"/>
                    </w:rPr>
                    <w:t>eport be noted.</w:t>
                  </w:r>
                </w:p>
              </w:txbxContent>
            </v:textbox>
          </v:shape>
        </w:pict>
      </w:r>
    </w:p>
    <w:p w:rsidR="00BD6C32" w:rsidRPr="000778EB" w:rsidRDefault="00BD6C32">
      <w:pPr>
        <w:ind w:left="720" w:hanging="720"/>
        <w:jc w:val="both"/>
        <w:rPr>
          <w:sz w:val="24"/>
          <w:szCs w:val="24"/>
        </w:rPr>
      </w:pPr>
    </w:p>
    <w:p w:rsidR="00BD6C32" w:rsidRPr="000778EB" w:rsidRDefault="00BD6C32">
      <w:pPr>
        <w:ind w:left="720" w:hanging="720"/>
        <w:jc w:val="both"/>
        <w:rPr>
          <w:sz w:val="24"/>
          <w:szCs w:val="24"/>
        </w:rPr>
      </w:pPr>
    </w:p>
    <w:p w:rsidR="00BD6C32" w:rsidRPr="000778EB" w:rsidRDefault="00BD6C32">
      <w:pPr>
        <w:ind w:left="720" w:hanging="720"/>
        <w:jc w:val="both"/>
        <w:rPr>
          <w:sz w:val="24"/>
          <w:szCs w:val="24"/>
        </w:rPr>
      </w:pPr>
    </w:p>
    <w:p w:rsidR="00BD6C32" w:rsidRPr="000778EB" w:rsidRDefault="00BD6C32">
      <w:pPr>
        <w:ind w:left="720" w:hanging="720"/>
        <w:jc w:val="both"/>
        <w:rPr>
          <w:sz w:val="24"/>
          <w:szCs w:val="24"/>
        </w:rPr>
      </w:pPr>
    </w:p>
    <w:p w:rsidR="00BD6C32" w:rsidRPr="000778EB" w:rsidRDefault="00BD6C32">
      <w:pPr>
        <w:ind w:left="720" w:hanging="720"/>
        <w:jc w:val="both"/>
        <w:rPr>
          <w:sz w:val="24"/>
          <w:szCs w:val="24"/>
        </w:rPr>
      </w:pPr>
    </w:p>
    <w:p w:rsidR="00F61930" w:rsidRPr="00F61930" w:rsidRDefault="00F61930" w:rsidP="000B48B3">
      <w:pPr>
        <w:jc w:val="both"/>
        <w:rPr>
          <w:sz w:val="24"/>
          <w:szCs w:val="24"/>
        </w:rPr>
      </w:pPr>
    </w:p>
    <w:p w:rsidR="00BD6C32" w:rsidRPr="006328DA" w:rsidRDefault="000B48B3">
      <w:pPr>
        <w:ind w:left="720" w:hanging="720"/>
        <w:jc w:val="both"/>
        <w:rPr>
          <w:b/>
          <w:sz w:val="24"/>
          <w:szCs w:val="24"/>
        </w:rPr>
      </w:pPr>
      <w:r>
        <w:rPr>
          <w:sz w:val="24"/>
          <w:szCs w:val="24"/>
        </w:rPr>
        <w:t>2</w:t>
      </w:r>
      <w:r w:rsidR="00BD6C32" w:rsidRPr="000778EB">
        <w:rPr>
          <w:sz w:val="24"/>
          <w:szCs w:val="24"/>
        </w:rPr>
        <w:tab/>
      </w:r>
      <w:r w:rsidR="005E6912">
        <w:rPr>
          <w:b/>
          <w:sz w:val="24"/>
          <w:szCs w:val="24"/>
        </w:rPr>
        <w:t>Report</w:t>
      </w:r>
    </w:p>
    <w:p w:rsidR="00BD6C32" w:rsidRPr="006328DA" w:rsidRDefault="00BD6C32">
      <w:pPr>
        <w:ind w:left="720" w:hanging="720"/>
        <w:jc w:val="both"/>
        <w:rPr>
          <w:sz w:val="24"/>
          <w:szCs w:val="24"/>
        </w:rPr>
      </w:pPr>
    </w:p>
    <w:p w:rsidR="000B48B3" w:rsidRPr="000B48B3" w:rsidRDefault="000B48B3" w:rsidP="000B48B3">
      <w:pPr>
        <w:jc w:val="both"/>
        <w:rPr>
          <w:rFonts w:eastAsia="Calibri" w:cs="Arial"/>
          <w:b/>
          <w:sz w:val="24"/>
          <w:szCs w:val="24"/>
        </w:rPr>
      </w:pPr>
      <w:r>
        <w:rPr>
          <w:sz w:val="24"/>
          <w:szCs w:val="24"/>
        </w:rPr>
        <w:t>2</w:t>
      </w:r>
      <w:r w:rsidR="006328DA" w:rsidRPr="006328DA">
        <w:rPr>
          <w:sz w:val="24"/>
          <w:szCs w:val="24"/>
        </w:rPr>
        <w:t>.1</w:t>
      </w:r>
      <w:r w:rsidR="00BD6C32" w:rsidRPr="006328DA">
        <w:rPr>
          <w:sz w:val="24"/>
          <w:szCs w:val="24"/>
        </w:rPr>
        <w:tab/>
      </w:r>
      <w:r w:rsidRPr="000B48B3">
        <w:rPr>
          <w:rFonts w:eastAsia="Calibri" w:cs="Arial"/>
          <w:b/>
          <w:sz w:val="24"/>
          <w:szCs w:val="24"/>
        </w:rPr>
        <w:t>Update – Planning Appeal Decisions</w:t>
      </w:r>
    </w:p>
    <w:p w:rsidR="006328DA" w:rsidRDefault="006328DA" w:rsidP="006328DA">
      <w:pPr>
        <w:ind w:left="720" w:hanging="720"/>
        <w:jc w:val="both"/>
        <w:rPr>
          <w:color w:val="000000"/>
          <w:sz w:val="24"/>
          <w:szCs w:val="24"/>
        </w:rPr>
      </w:pPr>
    </w:p>
    <w:p w:rsidR="000B48B3" w:rsidRPr="000B48B3" w:rsidRDefault="000B48B3" w:rsidP="000B48B3">
      <w:pPr>
        <w:jc w:val="both"/>
        <w:rPr>
          <w:rFonts w:eastAsia="Calibri" w:cs="Arial"/>
          <w:sz w:val="24"/>
          <w:szCs w:val="24"/>
        </w:rPr>
      </w:pPr>
      <w:r>
        <w:rPr>
          <w:color w:val="000000"/>
          <w:sz w:val="24"/>
          <w:szCs w:val="24"/>
        </w:rPr>
        <w:t>2.1.1</w:t>
      </w:r>
      <w:r>
        <w:rPr>
          <w:color w:val="000000"/>
          <w:sz w:val="24"/>
          <w:szCs w:val="24"/>
        </w:rPr>
        <w:tab/>
      </w:r>
      <w:r w:rsidRPr="000B48B3">
        <w:rPr>
          <w:rFonts w:eastAsia="Calibri" w:cs="Arial"/>
          <w:sz w:val="24"/>
          <w:szCs w:val="24"/>
        </w:rPr>
        <w:t xml:space="preserve">Since the September Board meeting, there have been six appeal decisions </w:t>
      </w:r>
      <w:r>
        <w:rPr>
          <w:rFonts w:eastAsia="Calibri" w:cs="Arial"/>
          <w:sz w:val="24"/>
          <w:szCs w:val="24"/>
        </w:rPr>
        <w:tab/>
      </w:r>
      <w:r w:rsidRPr="000B48B3">
        <w:rPr>
          <w:rFonts w:eastAsia="Calibri" w:cs="Arial"/>
          <w:sz w:val="24"/>
          <w:szCs w:val="24"/>
        </w:rPr>
        <w:t>received at the time of writing this report.</w:t>
      </w:r>
    </w:p>
    <w:p w:rsidR="000B48B3" w:rsidRDefault="000B48B3" w:rsidP="006328DA">
      <w:pPr>
        <w:ind w:left="720" w:hanging="720"/>
        <w:jc w:val="both"/>
        <w:rPr>
          <w:color w:val="000000"/>
          <w:sz w:val="24"/>
          <w:szCs w:val="24"/>
        </w:rPr>
      </w:pPr>
    </w:p>
    <w:p w:rsidR="000B48B3" w:rsidRDefault="00996C97" w:rsidP="000B48B3">
      <w:pPr>
        <w:spacing w:after="200" w:line="276" w:lineRule="auto"/>
        <w:ind w:left="300"/>
        <w:jc w:val="both"/>
        <w:rPr>
          <w:rFonts w:eastAsia="Calibri" w:cs="Arial"/>
          <w:b/>
          <w:sz w:val="24"/>
          <w:szCs w:val="24"/>
        </w:rPr>
      </w:pPr>
      <w:r>
        <w:rPr>
          <w:noProof/>
        </w:rPr>
        <w:pict>
          <v:shape id="Text Box 2" o:spid="_x0000_s1031" type="#_x0000_t202" style="position:absolute;left:0;text-align:left;margin-left:-47.6pt;margin-top:20.45pt;width:49.9pt;height:21.85pt;z-index:251655168;visibility:visible;mso-height-percent:200;mso-height-percent:200;mso-width-relative:margin;mso-height-relative:margin" stroked="f">
            <v:textbox style="mso-fit-shape-to-text:t">
              <w:txbxContent>
                <w:p w:rsidR="00CB6538" w:rsidRPr="00CB6538" w:rsidRDefault="00CB6538">
                  <w:pPr>
                    <w:rPr>
                      <w:b/>
                      <w:sz w:val="24"/>
                      <w:szCs w:val="24"/>
                    </w:rPr>
                  </w:pPr>
                  <w:r>
                    <w:rPr>
                      <w:b/>
                      <w:sz w:val="24"/>
                      <w:szCs w:val="24"/>
                    </w:rPr>
                    <w:t>. . .</w:t>
                  </w:r>
                </w:p>
              </w:txbxContent>
            </v:textbox>
          </v:shape>
        </w:pict>
      </w:r>
      <w:r w:rsidR="000B48B3">
        <w:rPr>
          <w:color w:val="000000"/>
          <w:sz w:val="24"/>
          <w:szCs w:val="24"/>
        </w:rPr>
        <w:tab/>
      </w:r>
      <w:proofErr w:type="gramStart"/>
      <w:r w:rsidR="000B48B3" w:rsidRPr="000B48B3">
        <w:rPr>
          <w:b/>
          <w:color w:val="000000"/>
          <w:sz w:val="24"/>
          <w:szCs w:val="24"/>
        </w:rPr>
        <w:t>a</w:t>
      </w:r>
      <w:proofErr w:type="gramEnd"/>
      <w:r w:rsidR="000B48B3" w:rsidRPr="000B48B3">
        <w:rPr>
          <w:b/>
          <w:color w:val="000000"/>
          <w:sz w:val="24"/>
          <w:szCs w:val="24"/>
        </w:rPr>
        <w:t>)</w:t>
      </w:r>
      <w:r w:rsidR="000B48B3">
        <w:rPr>
          <w:color w:val="000000"/>
          <w:sz w:val="24"/>
          <w:szCs w:val="24"/>
        </w:rPr>
        <w:tab/>
      </w:r>
      <w:r w:rsidR="000B48B3" w:rsidRPr="000B48B3">
        <w:rPr>
          <w:rFonts w:eastAsia="Calibri" w:cs="Arial"/>
          <w:b/>
          <w:sz w:val="24"/>
          <w:szCs w:val="24"/>
        </w:rPr>
        <w:t>Southfields Close, Coleshill</w:t>
      </w:r>
    </w:p>
    <w:p w:rsidR="000B48B3" w:rsidRDefault="000B48B3" w:rsidP="00356652">
      <w:pPr>
        <w:ind w:left="1440"/>
        <w:jc w:val="both"/>
        <w:rPr>
          <w:rFonts w:eastAsia="Calibri" w:cs="Arial"/>
          <w:sz w:val="24"/>
          <w:szCs w:val="24"/>
        </w:rPr>
      </w:pPr>
      <w:r w:rsidRPr="000B48B3">
        <w:rPr>
          <w:rFonts w:eastAsia="Calibri" w:cs="Arial"/>
          <w:sz w:val="24"/>
          <w:szCs w:val="24"/>
        </w:rPr>
        <w:t>This is attached at Appendix A. The key issues here were the impact of the development on the parking situation in this small cul-de-sac and the likely change to the character of the area. In respect of the former then the Inspector makes it very clear that as the proposal has its own on-site car parking, it would only result in a marginal increase in traffic.  He concludes that there is no evidence to demonstrate that the road is either unsafe or not wide enough to accommodate the extra two dwellings – paras 15 to 18. In respect of the second issue then paragraph 13 is quite clear - for there to be a strong case at appeal in defence of a refusal, there has to be evidence of material harm and not just there being a resistance to change.</w:t>
      </w:r>
    </w:p>
    <w:p w:rsidR="00356652" w:rsidRPr="00356652" w:rsidRDefault="00356652" w:rsidP="00356652">
      <w:pPr>
        <w:ind w:left="1440"/>
        <w:jc w:val="both"/>
        <w:rPr>
          <w:rFonts w:eastAsia="Calibri" w:cs="Arial"/>
          <w:sz w:val="24"/>
          <w:szCs w:val="24"/>
        </w:rPr>
      </w:pPr>
    </w:p>
    <w:p w:rsidR="000B48B3" w:rsidRPr="000B48B3" w:rsidRDefault="00996C97" w:rsidP="000B48B3">
      <w:pPr>
        <w:spacing w:after="200" w:line="276" w:lineRule="auto"/>
        <w:ind w:left="300"/>
        <w:jc w:val="both"/>
        <w:rPr>
          <w:rFonts w:eastAsia="Calibri" w:cs="Arial"/>
          <w:sz w:val="24"/>
          <w:szCs w:val="24"/>
        </w:rPr>
      </w:pPr>
      <w:r>
        <w:rPr>
          <w:noProof/>
        </w:rPr>
        <w:pict>
          <v:shape id="_x0000_s1032" type="#_x0000_t202" style="position:absolute;left:0;text-align:left;margin-left:-54.6pt;margin-top:22.4pt;width:50.65pt;height:21.85pt;z-index:251656192;visibility:visible;mso-height-percent:200;mso-height-percent:200;mso-width-relative:margin;mso-height-relative:margin" stroked="f">
            <v:textbox style="mso-fit-shape-to-text:t">
              <w:txbxContent>
                <w:p w:rsidR="00CB6538" w:rsidRPr="00CB6538" w:rsidRDefault="00CB6538">
                  <w:pPr>
                    <w:rPr>
                      <w:b/>
                      <w:sz w:val="24"/>
                      <w:szCs w:val="24"/>
                    </w:rPr>
                  </w:pPr>
                  <w:r>
                    <w:t xml:space="preserve">    </w:t>
                  </w:r>
                  <w:r>
                    <w:rPr>
                      <w:b/>
                      <w:sz w:val="24"/>
                      <w:szCs w:val="24"/>
                    </w:rPr>
                    <w:t>. . .</w:t>
                  </w:r>
                </w:p>
              </w:txbxContent>
            </v:textbox>
          </v:shape>
        </w:pict>
      </w:r>
      <w:r w:rsidR="000B48B3">
        <w:rPr>
          <w:rFonts w:eastAsia="Calibri" w:cs="Arial"/>
          <w:b/>
          <w:sz w:val="24"/>
          <w:szCs w:val="24"/>
        </w:rPr>
        <w:tab/>
      </w:r>
      <w:proofErr w:type="gramStart"/>
      <w:r w:rsidR="000B48B3">
        <w:rPr>
          <w:rFonts w:eastAsia="Calibri" w:cs="Arial"/>
          <w:b/>
          <w:sz w:val="24"/>
          <w:szCs w:val="24"/>
        </w:rPr>
        <w:t>b</w:t>
      </w:r>
      <w:proofErr w:type="gramEnd"/>
      <w:r w:rsidR="000B48B3">
        <w:rPr>
          <w:rFonts w:eastAsia="Calibri" w:cs="Arial"/>
          <w:b/>
          <w:sz w:val="24"/>
          <w:szCs w:val="24"/>
        </w:rPr>
        <w:t>)</w:t>
      </w:r>
      <w:r w:rsidR="000B48B3">
        <w:rPr>
          <w:rFonts w:eastAsia="Calibri" w:cs="Arial"/>
          <w:b/>
          <w:sz w:val="24"/>
          <w:szCs w:val="24"/>
        </w:rPr>
        <w:tab/>
      </w:r>
      <w:r w:rsidR="000B48B3" w:rsidRPr="000B48B3">
        <w:rPr>
          <w:rFonts w:eastAsia="Calibri" w:cs="Arial"/>
          <w:b/>
          <w:sz w:val="24"/>
          <w:szCs w:val="24"/>
        </w:rPr>
        <w:t>Boulters Lane, Wood End</w:t>
      </w:r>
    </w:p>
    <w:p w:rsidR="000B48B3" w:rsidRDefault="000B48B3" w:rsidP="00DD3D28">
      <w:pPr>
        <w:ind w:left="1440"/>
        <w:jc w:val="both"/>
        <w:rPr>
          <w:rFonts w:eastAsia="Calibri" w:cs="Arial"/>
          <w:sz w:val="24"/>
          <w:szCs w:val="24"/>
        </w:rPr>
      </w:pPr>
      <w:r w:rsidRPr="000B48B3">
        <w:rPr>
          <w:rFonts w:eastAsia="Calibri" w:cs="Arial"/>
          <w:sz w:val="24"/>
          <w:szCs w:val="24"/>
        </w:rPr>
        <w:t xml:space="preserve">This is attached at Appendix B. The key issues here were about the impact of the development on the character and appearance of the area and whether the proposal accorded with planning policy on housing provision. In respect of the former issue then the Inspector fully supported </w:t>
      </w:r>
      <w:r w:rsidRPr="000B48B3">
        <w:rPr>
          <w:rFonts w:eastAsia="Calibri" w:cs="Arial"/>
          <w:sz w:val="24"/>
          <w:szCs w:val="24"/>
        </w:rPr>
        <w:lastRenderedPageBreak/>
        <w:t xml:space="preserve">the Council – the proposal being “incongruous” and an “unrelated add-on” to the village at odds with the strongly linear form (paragraphs 5 to 8). The conclusion in respect of the second issue is welcome. The overall need for new housing did not outweigh the harm caused by the first factor and the fact that the Council had a five year supply weakened the applicant’s case. This does emphasise that the Council should always have a fully deliverable five year housing supply if it is to defend cases such as this.  </w:t>
      </w:r>
    </w:p>
    <w:p w:rsidR="00DD3D28" w:rsidRPr="00DD3D28" w:rsidRDefault="00DD3D28" w:rsidP="00DD3D28">
      <w:pPr>
        <w:ind w:left="1440"/>
        <w:jc w:val="both"/>
        <w:rPr>
          <w:rFonts w:eastAsia="Calibri" w:cs="Arial"/>
          <w:sz w:val="24"/>
          <w:szCs w:val="24"/>
        </w:rPr>
      </w:pPr>
    </w:p>
    <w:p w:rsidR="000B48B3" w:rsidRPr="000B48B3" w:rsidRDefault="00996C97" w:rsidP="00DD3D28">
      <w:pPr>
        <w:spacing w:after="200" w:line="276" w:lineRule="auto"/>
        <w:ind w:left="300"/>
        <w:jc w:val="both"/>
        <w:rPr>
          <w:rFonts w:eastAsia="Calibri" w:cs="Arial"/>
          <w:b/>
          <w:sz w:val="24"/>
          <w:szCs w:val="24"/>
        </w:rPr>
      </w:pPr>
      <w:r>
        <w:rPr>
          <w:noProof/>
        </w:rPr>
        <w:pict>
          <v:shape id="_x0000_s1033" type="#_x0000_t202" style="position:absolute;left:0;text-align:left;margin-left:-42.6pt;margin-top:21.2pt;width:50.65pt;height:21.85pt;z-index:251657216;visibility:visible;mso-height-percent:200;mso-height-percent:200;mso-width-relative:margin;mso-height-relative:margin" stroked="f">
            <v:textbox style="mso-fit-shape-to-text:t">
              <w:txbxContent>
                <w:p w:rsidR="00CB6538" w:rsidRPr="00CB6538" w:rsidRDefault="00CB6538">
                  <w:pPr>
                    <w:rPr>
                      <w:b/>
                      <w:sz w:val="24"/>
                      <w:szCs w:val="24"/>
                    </w:rPr>
                  </w:pPr>
                  <w:r>
                    <w:rPr>
                      <w:b/>
                      <w:sz w:val="24"/>
                      <w:szCs w:val="24"/>
                    </w:rPr>
                    <w:t xml:space="preserve"> . . .</w:t>
                  </w:r>
                </w:p>
              </w:txbxContent>
            </v:textbox>
          </v:shape>
        </w:pict>
      </w:r>
      <w:r w:rsidR="00DD3D28">
        <w:rPr>
          <w:rFonts w:eastAsia="Calibri" w:cs="Arial"/>
          <w:b/>
          <w:sz w:val="24"/>
          <w:szCs w:val="24"/>
        </w:rPr>
        <w:tab/>
        <w:t>c)</w:t>
      </w:r>
      <w:r w:rsidR="000B48B3">
        <w:rPr>
          <w:rFonts w:eastAsia="Calibri" w:cs="Arial"/>
          <w:b/>
          <w:sz w:val="24"/>
          <w:szCs w:val="24"/>
        </w:rPr>
        <w:tab/>
      </w:r>
      <w:r w:rsidR="000B48B3" w:rsidRPr="000B48B3">
        <w:rPr>
          <w:rFonts w:eastAsia="Calibri" w:cs="Arial"/>
          <w:b/>
          <w:sz w:val="24"/>
          <w:szCs w:val="24"/>
        </w:rPr>
        <w:t>78 Tamworth Road, Polesworth</w:t>
      </w:r>
    </w:p>
    <w:p w:rsidR="00DD3D28" w:rsidRDefault="00DD3D28" w:rsidP="00DD3D28">
      <w:pPr>
        <w:ind w:left="1440"/>
        <w:jc w:val="both"/>
        <w:rPr>
          <w:rFonts w:eastAsia="Calibri" w:cs="Arial"/>
          <w:sz w:val="24"/>
          <w:szCs w:val="24"/>
        </w:rPr>
      </w:pPr>
      <w:r w:rsidRPr="00DD3D28">
        <w:rPr>
          <w:rFonts w:eastAsia="Calibri" w:cs="Arial"/>
          <w:sz w:val="24"/>
          <w:szCs w:val="24"/>
        </w:rPr>
        <w:t>This is attached at Appendix C. The main issue here was the same as the previous case and in particular because the site is in the Meaningful Gap. The Council’s case was supported – paragraphs 4 to 11.  The five year housing supply was also a significant factor here – paragraphs 12 to 16. The same paragraphs are also helpful in respect of the Development Plan position – paragraph 12.</w:t>
      </w:r>
    </w:p>
    <w:p w:rsidR="00DD3D28" w:rsidRPr="00DD3D28" w:rsidRDefault="00DD3D28" w:rsidP="00DD3D28">
      <w:pPr>
        <w:ind w:left="1440"/>
        <w:jc w:val="both"/>
        <w:rPr>
          <w:rFonts w:eastAsia="Calibri" w:cs="Arial"/>
          <w:sz w:val="24"/>
          <w:szCs w:val="24"/>
        </w:rPr>
      </w:pPr>
      <w:r w:rsidRPr="00DD3D28">
        <w:rPr>
          <w:rFonts w:eastAsia="Calibri" w:cs="Arial"/>
          <w:sz w:val="24"/>
          <w:szCs w:val="24"/>
        </w:rPr>
        <w:t xml:space="preserve"> </w:t>
      </w:r>
    </w:p>
    <w:p w:rsidR="00DD3D28" w:rsidRPr="00DD3D28" w:rsidRDefault="00DD3D28" w:rsidP="00DD3D28">
      <w:pPr>
        <w:spacing w:after="200"/>
        <w:ind w:left="1440"/>
        <w:jc w:val="both"/>
        <w:rPr>
          <w:rFonts w:eastAsia="Calibri" w:cs="Arial"/>
          <w:sz w:val="24"/>
          <w:szCs w:val="24"/>
        </w:rPr>
      </w:pPr>
      <w:r w:rsidRPr="00DD3D28">
        <w:rPr>
          <w:rFonts w:eastAsia="Calibri" w:cs="Arial"/>
          <w:sz w:val="24"/>
          <w:szCs w:val="24"/>
        </w:rPr>
        <w:t xml:space="preserve">Further appeal decisions from around the country strongly point to the view that without a five year housing supply a Development Plan will be considered to be “out-of-date”. It is thus important that the principle of the grant of planning permission should normally be followed through where land is allocated or where it is inside a development boundary. </w:t>
      </w:r>
    </w:p>
    <w:p w:rsidR="00DD3D28" w:rsidRPr="00DD3D28" w:rsidRDefault="00DD3D28" w:rsidP="00DD3D28">
      <w:pPr>
        <w:spacing w:after="200" w:line="276" w:lineRule="auto"/>
        <w:ind w:left="660"/>
        <w:jc w:val="both"/>
        <w:rPr>
          <w:rFonts w:eastAsia="Calibri" w:cs="Arial"/>
          <w:b/>
          <w:sz w:val="24"/>
          <w:szCs w:val="24"/>
        </w:rPr>
      </w:pPr>
      <w:r>
        <w:rPr>
          <w:rFonts w:eastAsia="Calibri" w:cs="Arial"/>
          <w:b/>
          <w:sz w:val="24"/>
          <w:szCs w:val="24"/>
        </w:rPr>
        <w:tab/>
        <w:t>d)</w:t>
      </w:r>
      <w:r>
        <w:rPr>
          <w:rFonts w:eastAsia="Calibri" w:cs="Arial"/>
          <w:b/>
          <w:sz w:val="24"/>
          <w:szCs w:val="24"/>
        </w:rPr>
        <w:tab/>
      </w:r>
      <w:r w:rsidRPr="00DD3D28">
        <w:rPr>
          <w:rFonts w:eastAsia="Calibri" w:cs="Arial"/>
          <w:b/>
          <w:sz w:val="24"/>
          <w:szCs w:val="24"/>
        </w:rPr>
        <w:t>The Homestead, Austrey</w:t>
      </w:r>
    </w:p>
    <w:p w:rsidR="00DD3D28" w:rsidRDefault="00996C97" w:rsidP="008D331C">
      <w:pPr>
        <w:ind w:left="1440"/>
        <w:jc w:val="both"/>
        <w:rPr>
          <w:rFonts w:eastAsia="Calibri" w:cs="Arial"/>
          <w:sz w:val="24"/>
          <w:szCs w:val="24"/>
        </w:rPr>
      </w:pPr>
      <w:r>
        <w:rPr>
          <w:noProof/>
        </w:rPr>
        <w:pict>
          <v:shape id="_x0000_s1034" type="#_x0000_t202" style="position:absolute;left:0;text-align:left;margin-left:-37.35pt;margin-top:0;width:49.15pt;height:21.85pt;z-index:251658240;visibility:visible;mso-height-percent:200;mso-height-percent:200;mso-width-relative:margin;mso-height-relative:margin" stroked="f">
            <v:textbox style="mso-fit-shape-to-text:t">
              <w:txbxContent>
                <w:p w:rsidR="00CB6538" w:rsidRPr="00CB6538" w:rsidRDefault="00CB6538">
                  <w:pPr>
                    <w:rPr>
                      <w:b/>
                      <w:sz w:val="24"/>
                      <w:szCs w:val="24"/>
                    </w:rPr>
                  </w:pPr>
                  <w:r>
                    <w:t xml:space="preserve"> </w:t>
                  </w:r>
                  <w:r>
                    <w:rPr>
                      <w:b/>
                      <w:sz w:val="24"/>
                      <w:szCs w:val="24"/>
                    </w:rPr>
                    <w:t>. . .</w:t>
                  </w:r>
                </w:p>
              </w:txbxContent>
            </v:textbox>
          </v:shape>
        </w:pict>
      </w:r>
      <w:r w:rsidR="00DD3D28" w:rsidRPr="00DD3D28">
        <w:rPr>
          <w:rFonts w:eastAsia="Calibri" w:cs="Arial"/>
          <w:sz w:val="24"/>
          <w:szCs w:val="24"/>
        </w:rPr>
        <w:t>This is attached at Appendix D. Notwithstanding the Council’s view, the Inspector clearly points out that in her view the site has a greater affinity with the village rather than the adjoining countryside (para 5). Again as in the Coleshill case she infers that “change” is not a reason for refusal (para 9). On the highways point, then without the support of the County Council in these matters there will be no evidence that highways issues become “severe” which is the when the NPPF comes into effect (para 19)</w:t>
      </w:r>
      <w:r w:rsidR="00DD3D28">
        <w:rPr>
          <w:rFonts w:eastAsia="Calibri" w:cs="Arial"/>
          <w:sz w:val="24"/>
          <w:szCs w:val="24"/>
        </w:rPr>
        <w:t>.</w:t>
      </w:r>
    </w:p>
    <w:p w:rsidR="008D331C" w:rsidRPr="008D331C" w:rsidRDefault="008D331C" w:rsidP="008D331C">
      <w:pPr>
        <w:ind w:left="1440"/>
        <w:jc w:val="both"/>
        <w:rPr>
          <w:rFonts w:eastAsia="Calibri" w:cs="Arial"/>
          <w:sz w:val="24"/>
          <w:szCs w:val="24"/>
        </w:rPr>
      </w:pPr>
    </w:p>
    <w:p w:rsidR="00DD3D28" w:rsidRPr="00DD3D28" w:rsidRDefault="00996C97" w:rsidP="00DD3D28">
      <w:pPr>
        <w:spacing w:after="200" w:line="276" w:lineRule="auto"/>
        <w:ind w:left="720"/>
        <w:jc w:val="both"/>
        <w:rPr>
          <w:rFonts w:eastAsia="Calibri" w:cs="Arial"/>
          <w:b/>
          <w:sz w:val="24"/>
          <w:szCs w:val="24"/>
        </w:rPr>
      </w:pPr>
      <w:r>
        <w:rPr>
          <w:noProof/>
        </w:rPr>
        <w:pict>
          <v:shape id="_x0000_s1035" type="#_x0000_t202" style="position:absolute;left:0;text-align:left;margin-left:-37.35pt;margin-top:22.95pt;width:43.35pt;height:21.85pt;z-index:251659264;visibility:visible;mso-height-percent:200;mso-height-percent:200;mso-width-relative:margin;mso-height-relative:margin" stroked="f">
            <v:textbox style="mso-fit-shape-to-text:t">
              <w:txbxContent>
                <w:p w:rsidR="00CB6538" w:rsidRPr="00CB6538" w:rsidRDefault="00CB6538">
                  <w:pPr>
                    <w:rPr>
                      <w:b/>
                      <w:sz w:val="24"/>
                      <w:szCs w:val="24"/>
                    </w:rPr>
                  </w:pPr>
                  <w:r>
                    <w:t xml:space="preserve">  </w:t>
                  </w:r>
                  <w:r>
                    <w:rPr>
                      <w:b/>
                      <w:sz w:val="24"/>
                      <w:szCs w:val="24"/>
                    </w:rPr>
                    <w:t>. . .</w:t>
                  </w:r>
                </w:p>
              </w:txbxContent>
            </v:textbox>
          </v:shape>
        </w:pict>
      </w:r>
      <w:r w:rsidR="00DD3D28">
        <w:rPr>
          <w:rFonts w:eastAsia="Calibri" w:cs="Arial"/>
          <w:b/>
          <w:sz w:val="24"/>
          <w:szCs w:val="24"/>
        </w:rPr>
        <w:t>e)</w:t>
      </w:r>
      <w:r w:rsidR="00DD3D28">
        <w:rPr>
          <w:rFonts w:eastAsia="Calibri" w:cs="Arial"/>
          <w:b/>
          <w:sz w:val="24"/>
          <w:szCs w:val="24"/>
        </w:rPr>
        <w:tab/>
      </w:r>
      <w:r w:rsidR="00DD3D28" w:rsidRPr="00DD3D28">
        <w:rPr>
          <w:rFonts w:eastAsia="Calibri" w:cs="Arial"/>
          <w:b/>
          <w:sz w:val="24"/>
          <w:szCs w:val="24"/>
        </w:rPr>
        <w:t>The Barge and Bridge, Atherstone</w:t>
      </w:r>
    </w:p>
    <w:p w:rsidR="00CB6538" w:rsidRDefault="00DD3D28" w:rsidP="00DD3D28">
      <w:pPr>
        <w:ind w:left="1440"/>
        <w:jc w:val="both"/>
        <w:rPr>
          <w:rFonts w:eastAsia="Calibri" w:cs="Arial"/>
          <w:sz w:val="24"/>
          <w:szCs w:val="24"/>
        </w:rPr>
      </w:pPr>
      <w:r w:rsidRPr="00DD3D28">
        <w:rPr>
          <w:rFonts w:eastAsia="Calibri" w:cs="Arial"/>
          <w:sz w:val="24"/>
          <w:szCs w:val="24"/>
        </w:rPr>
        <w:t xml:space="preserve">This is at Appendix E. Members were concerned about a number of issues here. In respect of the impact on the area then the Inspector considers that there would be no significant difference added to the street scene (para 8) concluding that the development would “improve the quality” of the “run-down” appearance of this part of the town (para 8 to 10). There was no consequential harmful impact on heritage assets either (paras 12 to 17). In terms of highway and parking issues then whilst the Inspector agreed that the WCC conditions would be unenforceable there was no evidence submitted that that access would be a safety hazard (paras 21 to 22). In other words it is not sufficient just to describe an </w:t>
      </w:r>
      <w:r w:rsidR="00CB6538" w:rsidRPr="00DD3D28">
        <w:rPr>
          <w:rFonts w:eastAsia="Calibri" w:cs="Arial"/>
          <w:sz w:val="24"/>
          <w:szCs w:val="24"/>
        </w:rPr>
        <w:t>issue;</w:t>
      </w:r>
      <w:r w:rsidRPr="00DD3D28">
        <w:rPr>
          <w:rFonts w:eastAsia="Calibri" w:cs="Arial"/>
          <w:sz w:val="24"/>
          <w:szCs w:val="24"/>
        </w:rPr>
        <w:t xml:space="preserve"> you have to prove with technical evidence that that issue is really going to cause harm.</w:t>
      </w:r>
    </w:p>
    <w:p w:rsidR="00DD3D28" w:rsidRDefault="00DD3D28" w:rsidP="00CB6538">
      <w:pPr>
        <w:jc w:val="both"/>
        <w:rPr>
          <w:rFonts w:eastAsia="Calibri" w:cs="Arial"/>
          <w:sz w:val="24"/>
          <w:szCs w:val="24"/>
        </w:rPr>
      </w:pPr>
    </w:p>
    <w:p w:rsidR="00996C97" w:rsidRDefault="00996C97" w:rsidP="00DD3D28">
      <w:pPr>
        <w:spacing w:after="200" w:line="276" w:lineRule="auto"/>
        <w:ind w:left="720"/>
        <w:jc w:val="both"/>
        <w:rPr>
          <w:rFonts w:eastAsia="Calibri" w:cs="Arial"/>
          <w:b/>
          <w:sz w:val="24"/>
          <w:szCs w:val="24"/>
        </w:rPr>
      </w:pPr>
    </w:p>
    <w:p w:rsidR="00DD3D28" w:rsidRPr="00DD3D28" w:rsidRDefault="00996C97" w:rsidP="00DD3D28">
      <w:pPr>
        <w:spacing w:after="200" w:line="276" w:lineRule="auto"/>
        <w:ind w:left="720"/>
        <w:jc w:val="both"/>
        <w:rPr>
          <w:rFonts w:eastAsia="Calibri" w:cs="Arial"/>
          <w:b/>
          <w:sz w:val="24"/>
          <w:szCs w:val="24"/>
        </w:rPr>
      </w:pPr>
      <w:r>
        <w:rPr>
          <w:noProof/>
        </w:rPr>
        <w:lastRenderedPageBreak/>
        <w:pict>
          <v:shape id="_x0000_s1036" type="#_x0000_t202" style="position:absolute;left:0;text-align:left;margin-left:-34.05pt;margin-top:22.15pt;width:40.9pt;height:21.85pt;z-index:251660288;visibility:visible;mso-height-percent:200;mso-height-percent:200;mso-width-relative:margin;mso-height-relative:margin" stroked="f">
            <v:textbox style="mso-fit-shape-to-text:t">
              <w:txbxContent>
                <w:p w:rsidR="00CB6538" w:rsidRPr="00CB6538" w:rsidRDefault="00CB6538">
                  <w:pPr>
                    <w:rPr>
                      <w:b/>
                      <w:sz w:val="24"/>
                      <w:szCs w:val="24"/>
                    </w:rPr>
                  </w:pPr>
                  <w:r>
                    <w:rPr>
                      <w:b/>
                      <w:sz w:val="24"/>
                      <w:szCs w:val="24"/>
                    </w:rPr>
                    <w:t>. . .</w:t>
                  </w:r>
                </w:p>
              </w:txbxContent>
            </v:textbox>
          </v:shape>
        </w:pict>
      </w:r>
      <w:r w:rsidR="00DD3D28" w:rsidRPr="00DD3D28">
        <w:rPr>
          <w:rFonts w:eastAsia="Calibri" w:cs="Arial"/>
          <w:b/>
          <w:sz w:val="24"/>
          <w:szCs w:val="24"/>
        </w:rPr>
        <w:t>f)</w:t>
      </w:r>
      <w:r w:rsidR="00DD3D28">
        <w:rPr>
          <w:rFonts w:eastAsia="Calibri" w:cs="Arial"/>
          <w:sz w:val="24"/>
          <w:szCs w:val="24"/>
        </w:rPr>
        <w:tab/>
      </w:r>
      <w:r w:rsidR="00DD3D28" w:rsidRPr="00DD3D28">
        <w:rPr>
          <w:rFonts w:eastAsia="Calibri" w:cs="Arial"/>
          <w:b/>
          <w:sz w:val="24"/>
          <w:szCs w:val="24"/>
        </w:rPr>
        <w:t>Manor Barns, Newton Lane, Austrey</w:t>
      </w:r>
    </w:p>
    <w:p w:rsidR="00DD3D28" w:rsidRPr="00DD3D28" w:rsidRDefault="00DD3D28" w:rsidP="00DD3D28">
      <w:pPr>
        <w:ind w:left="1440"/>
        <w:jc w:val="both"/>
        <w:rPr>
          <w:rFonts w:eastAsia="Calibri" w:cs="Arial"/>
          <w:sz w:val="24"/>
          <w:szCs w:val="24"/>
        </w:rPr>
      </w:pPr>
      <w:r w:rsidRPr="00DD3D28">
        <w:rPr>
          <w:rFonts w:eastAsia="Calibri" w:cs="Arial"/>
          <w:sz w:val="24"/>
          <w:szCs w:val="24"/>
        </w:rPr>
        <w:t xml:space="preserve">This is attached at Appendix F. The Inspector considered that the site was big enough to accommodate up to 23 houses and that it would “round off the settlement”. Because the application was in outline, the design and appearance of the final development could be dealt with at a later stage.  The key interests here are the policy comments. Paragraph 15 indicates that even if we do have a five year supply, the NPPF always requires the supply of housing to be “boosted significantly” regardless of the five year position. In this case that led to a presumption in favour because the proposal was found to be sustainable development. Secondly paragraph 15 shows just how difficult it is to define how far we can go in deciding when to call a halt on the number of new houses in a village because we consider that we are going “too far” above a minimum figure. </w:t>
      </w:r>
    </w:p>
    <w:p w:rsidR="00DD3D28" w:rsidRPr="00DD3D28" w:rsidRDefault="00DD3D28" w:rsidP="00DD3D28">
      <w:pPr>
        <w:jc w:val="both"/>
        <w:rPr>
          <w:rFonts w:eastAsia="Calibri" w:cs="Arial"/>
          <w:sz w:val="24"/>
          <w:szCs w:val="24"/>
        </w:rPr>
      </w:pPr>
    </w:p>
    <w:p w:rsidR="00DD3D28" w:rsidRDefault="00DD3D28" w:rsidP="00356652">
      <w:pPr>
        <w:jc w:val="both"/>
        <w:rPr>
          <w:rFonts w:eastAsia="Calibri" w:cs="Arial"/>
          <w:b/>
          <w:sz w:val="24"/>
          <w:szCs w:val="24"/>
        </w:rPr>
      </w:pPr>
      <w:r>
        <w:rPr>
          <w:rFonts w:eastAsia="Calibri" w:cs="Arial"/>
          <w:sz w:val="24"/>
          <w:szCs w:val="24"/>
        </w:rPr>
        <w:t>2.2</w:t>
      </w:r>
      <w:r>
        <w:rPr>
          <w:rFonts w:eastAsia="Calibri" w:cs="Arial"/>
          <w:sz w:val="24"/>
          <w:szCs w:val="24"/>
        </w:rPr>
        <w:tab/>
      </w:r>
      <w:r w:rsidRPr="00DD3D28">
        <w:rPr>
          <w:rFonts w:eastAsia="Calibri" w:cs="Arial"/>
          <w:b/>
          <w:sz w:val="24"/>
          <w:szCs w:val="24"/>
        </w:rPr>
        <w:t>Update – Other Appeals</w:t>
      </w:r>
    </w:p>
    <w:p w:rsidR="00356652" w:rsidRPr="00DD3D28" w:rsidRDefault="00356652" w:rsidP="00356652">
      <w:pPr>
        <w:jc w:val="both"/>
        <w:rPr>
          <w:rFonts w:eastAsia="Calibri" w:cs="Arial"/>
          <w:b/>
          <w:sz w:val="24"/>
          <w:szCs w:val="24"/>
        </w:rPr>
      </w:pPr>
    </w:p>
    <w:p w:rsidR="00DD3D28" w:rsidRDefault="008D331C" w:rsidP="00356652">
      <w:pPr>
        <w:spacing w:after="200"/>
        <w:ind w:firstLine="720"/>
        <w:jc w:val="both"/>
        <w:rPr>
          <w:rFonts w:eastAsia="Calibri" w:cs="Arial"/>
          <w:b/>
          <w:sz w:val="24"/>
          <w:szCs w:val="24"/>
        </w:rPr>
      </w:pPr>
      <w:proofErr w:type="gramStart"/>
      <w:r>
        <w:rPr>
          <w:rFonts w:eastAsia="Calibri" w:cs="Arial"/>
          <w:b/>
          <w:sz w:val="24"/>
          <w:szCs w:val="24"/>
        </w:rPr>
        <w:t>a</w:t>
      </w:r>
      <w:proofErr w:type="gramEnd"/>
      <w:r w:rsidR="00DD3D28" w:rsidRPr="00DD3D28">
        <w:rPr>
          <w:rFonts w:eastAsia="Calibri" w:cs="Arial"/>
          <w:b/>
          <w:sz w:val="24"/>
          <w:szCs w:val="24"/>
        </w:rPr>
        <w:t>)</w:t>
      </w:r>
      <w:r w:rsidR="00DD3D28" w:rsidRPr="00DD3D28">
        <w:rPr>
          <w:rFonts w:eastAsia="Calibri" w:cs="Arial"/>
          <w:b/>
          <w:sz w:val="24"/>
          <w:szCs w:val="24"/>
        </w:rPr>
        <w:tab/>
      </w:r>
      <w:proofErr w:type="spellStart"/>
      <w:r w:rsidR="00DD3D28" w:rsidRPr="00DD3D28">
        <w:rPr>
          <w:rFonts w:eastAsia="Calibri" w:cs="Arial"/>
          <w:b/>
          <w:sz w:val="24"/>
          <w:szCs w:val="24"/>
        </w:rPr>
        <w:t>Eastlang</w:t>
      </w:r>
      <w:proofErr w:type="spellEnd"/>
      <w:r w:rsidR="00DD3D28" w:rsidRPr="00DD3D28">
        <w:rPr>
          <w:rFonts w:eastAsia="Calibri" w:cs="Arial"/>
          <w:b/>
          <w:sz w:val="24"/>
          <w:szCs w:val="24"/>
        </w:rPr>
        <w:t xml:space="preserve"> Road, </w:t>
      </w:r>
      <w:proofErr w:type="spellStart"/>
      <w:r w:rsidR="00DD3D28" w:rsidRPr="00DD3D28">
        <w:rPr>
          <w:rFonts w:eastAsia="Calibri" w:cs="Arial"/>
          <w:b/>
          <w:sz w:val="24"/>
          <w:szCs w:val="24"/>
        </w:rPr>
        <w:t>Fillongley</w:t>
      </w:r>
      <w:proofErr w:type="spellEnd"/>
    </w:p>
    <w:p w:rsidR="00DD3D28" w:rsidRDefault="00DD3D28" w:rsidP="00356652">
      <w:pPr>
        <w:ind w:left="1440"/>
        <w:jc w:val="both"/>
        <w:rPr>
          <w:rFonts w:eastAsia="Calibri" w:cs="Arial"/>
          <w:sz w:val="24"/>
          <w:szCs w:val="24"/>
        </w:rPr>
      </w:pPr>
      <w:r w:rsidRPr="00DD3D28">
        <w:rPr>
          <w:rFonts w:eastAsia="Calibri" w:cs="Arial"/>
          <w:sz w:val="24"/>
          <w:szCs w:val="24"/>
        </w:rPr>
        <w:t>An appeal has been lodged against the refusal here for 27 houses. It is being heard through an exchange of written representations which was completed on the 15 November. A decision has not yet been made.</w:t>
      </w:r>
    </w:p>
    <w:p w:rsidR="00356652" w:rsidRPr="00356652" w:rsidRDefault="00356652" w:rsidP="00356652">
      <w:pPr>
        <w:ind w:left="1440"/>
        <w:jc w:val="both"/>
        <w:rPr>
          <w:rFonts w:eastAsia="Calibri" w:cs="Arial"/>
          <w:sz w:val="24"/>
          <w:szCs w:val="24"/>
        </w:rPr>
      </w:pPr>
    </w:p>
    <w:p w:rsidR="00356652" w:rsidRPr="00356652" w:rsidRDefault="00356652" w:rsidP="00356652">
      <w:pPr>
        <w:spacing w:after="200" w:line="276" w:lineRule="auto"/>
        <w:jc w:val="both"/>
        <w:rPr>
          <w:rFonts w:eastAsia="Calibri" w:cs="Arial"/>
          <w:b/>
          <w:sz w:val="24"/>
          <w:szCs w:val="24"/>
        </w:rPr>
      </w:pPr>
      <w:r>
        <w:rPr>
          <w:rFonts w:eastAsia="Calibri" w:cs="Arial"/>
          <w:b/>
          <w:sz w:val="24"/>
          <w:szCs w:val="24"/>
        </w:rPr>
        <w:tab/>
      </w:r>
      <w:r w:rsidR="008D331C">
        <w:rPr>
          <w:rFonts w:eastAsia="Calibri" w:cs="Arial"/>
          <w:b/>
          <w:sz w:val="24"/>
          <w:szCs w:val="24"/>
        </w:rPr>
        <w:t>b</w:t>
      </w:r>
      <w:r>
        <w:rPr>
          <w:rFonts w:eastAsia="Calibri" w:cs="Arial"/>
          <w:b/>
          <w:sz w:val="24"/>
          <w:szCs w:val="24"/>
        </w:rPr>
        <w:t>)</w:t>
      </w:r>
      <w:r>
        <w:rPr>
          <w:rFonts w:eastAsia="Calibri" w:cs="Arial"/>
          <w:b/>
          <w:sz w:val="24"/>
          <w:szCs w:val="24"/>
        </w:rPr>
        <w:tab/>
      </w:r>
      <w:r w:rsidRPr="00356652">
        <w:rPr>
          <w:rFonts w:eastAsia="Calibri" w:cs="Arial"/>
          <w:b/>
          <w:sz w:val="24"/>
          <w:szCs w:val="24"/>
        </w:rPr>
        <w:t>The Mancetter Broiler Unit</w:t>
      </w:r>
    </w:p>
    <w:p w:rsidR="00356652" w:rsidRDefault="00356652" w:rsidP="00356652">
      <w:pPr>
        <w:ind w:left="1440"/>
        <w:jc w:val="both"/>
        <w:rPr>
          <w:rFonts w:eastAsia="Calibri" w:cs="Arial"/>
          <w:sz w:val="24"/>
          <w:szCs w:val="24"/>
        </w:rPr>
      </w:pPr>
      <w:r w:rsidRPr="00356652">
        <w:rPr>
          <w:rFonts w:eastAsia="Calibri" w:cs="Arial"/>
          <w:sz w:val="24"/>
          <w:szCs w:val="24"/>
        </w:rPr>
        <w:t>An appeal has been lodged and the Inspectorate has decided that the appeal will be heard at a Public Hearing. No date has been agreed.</w:t>
      </w:r>
    </w:p>
    <w:p w:rsidR="00356652" w:rsidRPr="00356652" w:rsidRDefault="00356652" w:rsidP="00356652">
      <w:pPr>
        <w:ind w:left="1440"/>
        <w:jc w:val="both"/>
        <w:rPr>
          <w:rFonts w:eastAsia="Calibri" w:cs="Arial"/>
          <w:sz w:val="24"/>
          <w:szCs w:val="24"/>
        </w:rPr>
      </w:pPr>
    </w:p>
    <w:p w:rsidR="00356652" w:rsidRPr="00356652" w:rsidRDefault="00356652" w:rsidP="00356652">
      <w:pPr>
        <w:spacing w:after="200" w:line="276" w:lineRule="auto"/>
        <w:jc w:val="both"/>
        <w:rPr>
          <w:rFonts w:eastAsia="Calibri" w:cs="Arial"/>
          <w:b/>
          <w:sz w:val="24"/>
          <w:szCs w:val="24"/>
        </w:rPr>
      </w:pPr>
      <w:r>
        <w:rPr>
          <w:rFonts w:eastAsia="Calibri" w:cs="Arial"/>
          <w:b/>
          <w:sz w:val="24"/>
          <w:szCs w:val="24"/>
        </w:rPr>
        <w:tab/>
      </w:r>
      <w:r w:rsidR="008D331C">
        <w:rPr>
          <w:rFonts w:eastAsia="Calibri" w:cs="Arial"/>
          <w:b/>
          <w:sz w:val="24"/>
          <w:szCs w:val="24"/>
        </w:rPr>
        <w:t>c</w:t>
      </w:r>
      <w:r>
        <w:rPr>
          <w:rFonts w:eastAsia="Calibri" w:cs="Arial"/>
          <w:b/>
          <w:sz w:val="24"/>
          <w:szCs w:val="24"/>
        </w:rPr>
        <w:t>)</w:t>
      </w:r>
      <w:r>
        <w:rPr>
          <w:rFonts w:eastAsia="Calibri" w:cs="Arial"/>
          <w:b/>
          <w:sz w:val="24"/>
          <w:szCs w:val="24"/>
        </w:rPr>
        <w:tab/>
      </w:r>
      <w:r w:rsidRPr="00356652">
        <w:rPr>
          <w:rFonts w:eastAsia="Calibri" w:cs="Arial"/>
          <w:b/>
          <w:sz w:val="24"/>
          <w:szCs w:val="24"/>
        </w:rPr>
        <w:t xml:space="preserve">St </w:t>
      </w:r>
      <w:proofErr w:type="spellStart"/>
      <w:r w:rsidRPr="00356652">
        <w:rPr>
          <w:rFonts w:eastAsia="Calibri" w:cs="Arial"/>
          <w:b/>
          <w:sz w:val="24"/>
          <w:szCs w:val="24"/>
        </w:rPr>
        <w:t>Modwens’s</w:t>
      </w:r>
      <w:proofErr w:type="spellEnd"/>
      <w:r w:rsidRPr="00356652">
        <w:rPr>
          <w:rFonts w:eastAsia="Calibri" w:cs="Arial"/>
          <w:b/>
          <w:sz w:val="24"/>
          <w:szCs w:val="24"/>
        </w:rPr>
        <w:t xml:space="preserve"> at Junction </w:t>
      </w:r>
      <w:r w:rsidR="00602AFC">
        <w:rPr>
          <w:rFonts w:eastAsia="Calibri" w:cs="Arial"/>
          <w:b/>
          <w:sz w:val="24"/>
          <w:szCs w:val="24"/>
        </w:rPr>
        <w:t>10</w:t>
      </w:r>
      <w:r w:rsidRPr="00356652">
        <w:rPr>
          <w:rFonts w:eastAsia="Calibri" w:cs="Arial"/>
          <w:b/>
          <w:sz w:val="24"/>
          <w:szCs w:val="24"/>
        </w:rPr>
        <w:t xml:space="preserve"> of the M42</w:t>
      </w:r>
    </w:p>
    <w:p w:rsidR="00356652" w:rsidRDefault="00356652" w:rsidP="00356652">
      <w:pPr>
        <w:ind w:left="1440"/>
        <w:jc w:val="both"/>
        <w:rPr>
          <w:rFonts w:eastAsia="Calibri" w:cs="Arial"/>
          <w:sz w:val="24"/>
          <w:szCs w:val="24"/>
        </w:rPr>
      </w:pPr>
      <w:r w:rsidRPr="00356652">
        <w:rPr>
          <w:rFonts w:eastAsia="Calibri" w:cs="Arial"/>
          <w:sz w:val="24"/>
          <w:szCs w:val="24"/>
        </w:rPr>
        <w:t>This appeal was heard at a Public Inquiry in September. The Inspector’s decision is still awaited.</w:t>
      </w:r>
    </w:p>
    <w:p w:rsidR="00356652" w:rsidRDefault="00356652" w:rsidP="00356652">
      <w:pPr>
        <w:ind w:left="1440"/>
        <w:jc w:val="both"/>
        <w:rPr>
          <w:rFonts w:eastAsia="Calibri" w:cs="Arial"/>
          <w:sz w:val="24"/>
          <w:szCs w:val="24"/>
        </w:rPr>
      </w:pPr>
    </w:p>
    <w:p w:rsidR="00356652" w:rsidRPr="00356652" w:rsidRDefault="00356652" w:rsidP="00356652">
      <w:pPr>
        <w:spacing w:after="200" w:line="276" w:lineRule="auto"/>
        <w:jc w:val="both"/>
        <w:rPr>
          <w:rFonts w:eastAsia="Calibri" w:cs="Arial"/>
          <w:b/>
          <w:sz w:val="24"/>
          <w:szCs w:val="24"/>
        </w:rPr>
      </w:pPr>
      <w:r>
        <w:rPr>
          <w:rFonts w:eastAsia="Calibri" w:cs="Arial"/>
          <w:b/>
          <w:sz w:val="24"/>
          <w:szCs w:val="24"/>
        </w:rPr>
        <w:tab/>
      </w:r>
      <w:r w:rsidR="008D331C">
        <w:rPr>
          <w:rFonts w:eastAsia="Calibri" w:cs="Arial"/>
          <w:b/>
          <w:sz w:val="24"/>
          <w:szCs w:val="24"/>
        </w:rPr>
        <w:t>d</w:t>
      </w:r>
      <w:r>
        <w:rPr>
          <w:rFonts w:eastAsia="Calibri" w:cs="Arial"/>
          <w:b/>
          <w:sz w:val="24"/>
          <w:szCs w:val="24"/>
        </w:rPr>
        <w:t>)</w:t>
      </w:r>
      <w:r>
        <w:rPr>
          <w:rFonts w:eastAsia="Calibri" w:cs="Arial"/>
          <w:b/>
          <w:sz w:val="24"/>
          <w:szCs w:val="24"/>
        </w:rPr>
        <w:tab/>
      </w:r>
      <w:r w:rsidRPr="00356652">
        <w:rPr>
          <w:rFonts w:eastAsia="Calibri" w:cs="Arial"/>
          <w:b/>
          <w:sz w:val="24"/>
          <w:szCs w:val="24"/>
        </w:rPr>
        <w:t>Fir Tree Paddock, Mancetter</w:t>
      </w:r>
    </w:p>
    <w:p w:rsidR="00356652" w:rsidRPr="00356652" w:rsidRDefault="00356652" w:rsidP="00356652">
      <w:pPr>
        <w:spacing w:after="200"/>
        <w:jc w:val="both"/>
        <w:rPr>
          <w:rFonts w:eastAsia="Calibri" w:cs="Arial"/>
          <w:sz w:val="24"/>
          <w:szCs w:val="24"/>
        </w:rPr>
      </w:pPr>
      <w:r>
        <w:rPr>
          <w:rFonts w:eastAsia="Calibri" w:cs="Arial"/>
          <w:sz w:val="24"/>
          <w:szCs w:val="24"/>
        </w:rPr>
        <w:tab/>
      </w:r>
      <w:r>
        <w:rPr>
          <w:rFonts w:eastAsia="Calibri" w:cs="Arial"/>
          <w:sz w:val="24"/>
          <w:szCs w:val="24"/>
        </w:rPr>
        <w:tab/>
      </w:r>
      <w:r w:rsidRPr="00356652">
        <w:rPr>
          <w:rFonts w:eastAsia="Calibri" w:cs="Arial"/>
          <w:sz w:val="24"/>
          <w:szCs w:val="24"/>
        </w:rPr>
        <w:t xml:space="preserve">The appeal was heard at a hearing in early October. The decision is </w:t>
      </w:r>
      <w:r>
        <w:rPr>
          <w:rFonts w:eastAsia="Calibri" w:cs="Arial"/>
          <w:sz w:val="24"/>
          <w:szCs w:val="24"/>
        </w:rPr>
        <w:tab/>
      </w:r>
      <w:r>
        <w:rPr>
          <w:rFonts w:eastAsia="Calibri" w:cs="Arial"/>
          <w:sz w:val="24"/>
          <w:szCs w:val="24"/>
        </w:rPr>
        <w:tab/>
      </w:r>
      <w:r w:rsidR="00996C97">
        <w:rPr>
          <w:rFonts w:eastAsia="Calibri" w:cs="Arial"/>
          <w:sz w:val="24"/>
          <w:szCs w:val="24"/>
        </w:rPr>
        <w:tab/>
      </w:r>
      <w:r w:rsidRPr="00356652">
        <w:rPr>
          <w:rFonts w:eastAsia="Calibri" w:cs="Arial"/>
          <w:sz w:val="24"/>
          <w:szCs w:val="24"/>
        </w:rPr>
        <w:t>still awaited.</w:t>
      </w:r>
    </w:p>
    <w:p w:rsidR="00356652" w:rsidRPr="00356652" w:rsidRDefault="00356652" w:rsidP="00356652">
      <w:pPr>
        <w:spacing w:after="200" w:line="276" w:lineRule="auto"/>
        <w:jc w:val="both"/>
        <w:rPr>
          <w:rFonts w:eastAsia="Calibri" w:cs="Arial"/>
          <w:b/>
          <w:sz w:val="24"/>
          <w:szCs w:val="24"/>
        </w:rPr>
      </w:pPr>
      <w:r>
        <w:rPr>
          <w:rFonts w:eastAsia="Calibri" w:cs="Arial"/>
          <w:b/>
          <w:sz w:val="24"/>
          <w:szCs w:val="24"/>
        </w:rPr>
        <w:tab/>
      </w:r>
      <w:r w:rsidR="008D331C">
        <w:rPr>
          <w:rFonts w:eastAsia="Calibri" w:cs="Arial"/>
          <w:b/>
          <w:sz w:val="24"/>
          <w:szCs w:val="24"/>
        </w:rPr>
        <w:t>e</w:t>
      </w:r>
      <w:r>
        <w:rPr>
          <w:rFonts w:eastAsia="Calibri" w:cs="Arial"/>
          <w:b/>
          <w:sz w:val="24"/>
          <w:szCs w:val="24"/>
        </w:rPr>
        <w:t>)</w:t>
      </w:r>
      <w:r>
        <w:rPr>
          <w:rFonts w:eastAsia="Calibri" w:cs="Arial"/>
          <w:b/>
          <w:sz w:val="24"/>
          <w:szCs w:val="24"/>
        </w:rPr>
        <w:tab/>
      </w:r>
      <w:r w:rsidRPr="00356652">
        <w:rPr>
          <w:rFonts w:eastAsia="Calibri" w:cs="Arial"/>
          <w:b/>
          <w:sz w:val="24"/>
          <w:szCs w:val="24"/>
        </w:rPr>
        <w:t>Land off Tunnel Road, Ansley</w:t>
      </w:r>
    </w:p>
    <w:p w:rsidR="00CB6538" w:rsidRPr="00356652" w:rsidRDefault="00356652" w:rsidP="008D331C">
      <w:pPr>
        <w:spacing w:after="200"/>
        <w:jc w:val="both"/>
        <w:rPr>
          <w:rFonts w:eastAsia="Calibri" w:cs="Arial"/>
          <w:sz w:val="24"/>
          <w:szCs w:val="24"/>
        </w:rPr>
      </w:pPr>
      <w:r>
        <w:rPr>
          <w:rFonts w:eastAsia="Calibri" w:cs="Arial"/>
          <w:sz w:val="24"/>
          <w:szCs w:val="24"/>
        </w:rPr>
        <w:tab/>
      </w:r>
      <w:r>
        <w:rPr>
          <w:rFonts w:eastAsia="Calibri" w:cs="Arial"/>
          <w:sz w:val="24"/>
          <w:szCs w:val="24"/>
        </w:rPr>
        <w:tab/>
      </w:r>
      <w:r w:rsidRPr="00356652">
        <w:rPr>
          <w:rFonts w:eastAsia="Calibri" w:cs="Arial"/>
          <w:sz w:val="24"/>
          <w:szCs w:val="24"/>
        </w:rPr>
        <w:t xml:space="preserve">This appeal for up to 79 houses was dealt with by way of an Inquiry in </w:t>
      </w:r>
      <w:r>
        <w:rPr>
          <w:rFonts w:eastAsia="Calibri" w:cs="Arial"/>
          <w:sz w:val="24"/>
          <w:szCs w:val="24"/>
        </w:rPr>
        <w:tab/>
      </w:r>
      <w:r>
        <w:rPr>
          <w:rFonts w:eastAsia="Calibri" w:cs="Arial"/>
          <w:sz w:val="24"/>
          <w:szCs w:val="24"/>
        </w:rPr>
        <w:tab/>
      </w:r>
      <w:r w:rsidR="00996C97">
        <w:rPr>
          <w:rFonts w:eastAsia="Calibri" w:cs="Arial"/>
          <w:sz w:val="24"/>
          <w:szCs w:val="24"/>
        </w:rPr>
        <w:tab/>
      </w:r>
      <w:r w:rsidRPr="00356652">
        <w:rPr>
          <w:rFonts w:eastAsia="Calibri" w:cs="Arial"/>
          <w:sz w:val="24"/>
          <w:szCs w:val="24"/>
        </w:rPr>
        <w:t>early November. A decision is awaited.</w:t>
      </w:r>
      <w:bookmarkStart w:id="0" w:name="_GoBack"/>
      <w:bookmarkEnd w:id="0"/>
    </w:p>
    <w:p w:rsidR="00356652" w:rsidRDefault="00356652" w:rsidP="00356652">
      <w:pPr>
        <w:spacing w:after="200" w:line="276" w:lineRule="auto"/>
        <w:jc w:val="both"/>
        <w:rPr>
          <w:rFonts w:eastAsia="Calibri" w:cs="Arial"/>
          <w:b/>
          <w:sz w:val="24"/>
          <w:szCs w:val="24"/>
        </w:rPr>
      </w:pPr>
      <w:r>
        <w:rPr>
          <w:rFonts w:eastAsia="Calibri" w:cs="Arial"/>
          <w:b/>
          <w:sz w:val="24"/>
          <w:szCs w:val="24"/>
        </w:rPr>
        <w:tab/>
      </w:r>
      <w:r w:rsidR="008D331C">
        <w:rPr>
          <w:rFonts w:eastAsia="Calibri" w:cs="Arial"/>
          <w:b/>
          <w:sz w:val="24"/>
          <w:szCs w:val="24"/>
        </w:rPr>
        <w:t>f</w:t>
      </w:r>
      <w:r>
        <w:rPr>
          <w:rFonts w:eastAsia="Calibri" w:cs="Arial"/>
          <w:b/>
          <w:sz w:val="24"/>
          <w:szCs w:val="24"/>
        </w:rPr>
        <w:t>)</w:t>
      </w:r>
      <w:r>
        <w:rPr>
          <w:rFonts w:eastAsia="Calibri" w:cs="Arial"/>
          <w:b/>
          <w:sz w:val="24"/>
          <w:szCs w:val="24"/>
        </w:rPr>
        <w:tab/>
      </w:r>
      <w:r w:rsidRPr="00356652">
        <w:rPr>
          <w:rFonts w:eastAsia="Calibri" w:cs="Arial"/>
          <w:b/>
          <w:sz w:val="24"/>
          <w:szCs w:val="24"/>
        </w:rPr>
        <w:t xml:space="preserve">Moor Farm Stables, Corley Moor </w:t>
      </w:r>
    </w:p>
    <w:p w:rsidR="00CB6538" w:rsidRPr="00356652" w:rsidRDefault="00356652" w:rsidP="00CB6538">
      <w:pPr>
        <w:spacing w:after="200"/>
        <w:ind w:left="1418"/>
        <w:jc w:val="both"/>
        <w:rPr>
          <w:rFonts w:eastAsia="Calibri" w:cs="Arial"/>
          <w:sz w:val="24"/>
          <w:szCs w:val="24"/>
        </w:rPr>
      </w:pPr>
      <w:r>
        <w:rPr>
          <w:rFonts w:eastAsia="Calibri" w:cs="Arial"/>
          <w:sz w:val="24"/>
          <w:szCs w:val="24"/>
        </w:rPr>
        <w:t>An appeal has been lodged against the refusal of planning permission here to retain an indoor riding arena.  This will be heard by an</w:t>
      </w:r>
      <w:r w:rsidR="008D331C">
        <w:rPr>
          <w:rFonts w:eastAsia="Calibri" w:cs="Arial"/>
          <w:sz w:val="24"/>
          <w:szCs w:val="24"/>
        </w:rPr>
        <w:t xml:space="preserve"> </w:t>
      </w:r>
      <w:r>
        <w:rPr>
          <w:rFonts w:eastAsia="Calibri" w:cs="Arial"/>
          <w:sz w:val="24"/>
          <w:szCs w:val="24"/>
        </w:rPr>
        <w:t>exchange of written representations.</w:t>
      </w:r>
    </w:p>
    <w:p w:rsidR="00356652" w:rsidRPr="00356652" w:rsidRDefault="008D331C" w:rsidP="00356652">
      <w:pPr>
        <w:spacing w:after="200" w:line="276" w:lineRule="auto"/>
        <w:jc w:val="both"/>
        <w:rPr>
          <w:rFonts w:eastAsia="Calibri" w:cs="Arial"/>
          <w:b/>
          <w:sz w:val="24"/>
          <w:szCs w:val="24"/>
        </w:rPr>
      </w:pPr>
      <w:r w:rsidRPr="008D331C">
        <w:rPr>
          <w:rFonts w:eastAsia="Calibri" w:cs="Arial"/>
          <w:sz w:val="24"/>
          <w:szCs w:val="24"/>
        </w:rPr>
        <w:lastRenderedPageBreak/>
        <w:t>2.3</w:t>
      </w:r>
      <w:r>
        <w:rPr>
          <w:rFonts w:eastAsia="Calibri" w:cs="Arial"/>
          <w:b/>
          <w:sz w:val="24"/>
          <w:szCs w:val="24"/>
        </w:rPr>
        <w:tab/>
      </w:r>
      <w:r w:rsidR="00356652" w:rsidRPr="00356652">
        <w:rPr>
          <w:rFonts w:eastAsia="Calibri" w:cs="Arial"/>
          <w:b/>
          <w:sz w:val="24"/>
          <w:szCs w:val="24"/>
        </w:rPr>
        <w:t>Update – Enforcement Matters</w:t>
      </w:r>
    </w:p>
    <w:p w:rsidR="00356652" w:rsidRPr="00356652" w:rsidRDefault="00356652" w:rsidP="008D331C">
      <w:pPr>
        <w:numPr>
          <w:ilvl w:val="0"/>
          <w:numId w:val="8"/>
        </w:numPr>
        <w:spacing w:after="200" w:line="276" w:lineRule="auto"/>
        <w:ind w:left="660" w:firstLine="49"/>
        <w:jc w:val="both"/>
        <w:rPr>
          <w:rFonts w:eastAsia="Calibri" w:cs="Arial"/>
          <w:b/>
          <w:sz w:val="24"/>
          <w:szCs w:val="24"/>
        </w:rPr>
      </w:pPr>
      <w:proofErr w:type="spellStart"/>
      <w:r w:rsidRPr="00356652">
        <w:rPr>
          <w:rFonts w:eastAsia="Calibri" w:cs="Arial"/>
          <w:b/>
          <w:sz w:val="24"/>
          <w:szCs w:val="24"/>
        </w:rPr>
        <w:t>Blackgreaves</w:t>
      </w:r>
      <w:proofErr w:type="spellEnd"/>
      <w:r w:rsidRPr="00356652">
        <w:rPr>
          <w:rFonts w:eastAsia="Calibri" w:cs="Arial"/>
          <w:b/>
          <w:sz w:val="24"/>
          <w:szCs w:val="24"/>
        </w:rPr>
        <w:t xml:space="preserve"> Farm, Lea Marston</w:t>
      </w:r>
    </w:p>
    <w:p w:rsidR="00356652" w:rsidRPr="00356652" w:rsidRDefault="00996C97" w:rsidP="008D331C">
      <w:pPr>
        <w:spacing w:after="200"/>
        <w:ind w:left="1440"/>
        <w:jc w:val="both"/>
        <w:rPr>
          <w:rFonts w:eastAsia="Calibri" w:cs="Arial"/>
          <w:sz w:val="24"/>
          <w:szCs w:val="24"/>
        </w:rPr>
      </w:pPr>
      <w:r>
        <w:rPr>
          <w:noProof/>
        </w:rPr>
        <w:pict>
          <v:shape id="_x0000_s1037" type="#_x0000_t202" style="position:absolute;left:0;text-align:left;margin-left:-54.45pt;margin-top:6.45pt;width:54.4pt;height:21.85pt;z-index:251661312;visibility:visible;mso-height-percent:200;mso-height-percent:200;mso-width-relative:margin;mso-height-relative:margin" stroked="f">
            <v:textbox style="mso-fit-shape-to-text:t">
              <w:txbxContent>
                <w:p w:rsidR="006F27AE" w:rsidRPr="006F27AE" w:rsidRDefault="006F27AE">
                  <w:pPr>
                    <w:rPr>
                      <w:b/>
                      <w:sz w:val="24"/>
                      <w:szCs w:val="24"/>
                    </w:rPr>
                  </w:pPr>
                  <w:r>
                    <w:rPr>
                      <w:b/>
                      <w:sz w:val="24"/>
                      <w:szCs w:val="24"/>
                    </w:rPr>
                    <w:t xml:space="preserve">    . . .</w:t>
                  </w:r>
                </w:p>
              </w:txbxContent>
            </v:textbox>
          </v:shape>
        </w:pict>
      </w:r>
      <w:r w:rsidR="00356652" w:rsidRPr="00356652">
        <w:rPr>
          <w:rFonts w:eastAsia="Calibri" w:cs="Arial"/>
          <w:sz w:val="24"/>
          <w:szCs w:val="24"/>
        </w:rPr>
        <w:t>The appeal against the Notice was heard in early October and dismissed in November – see Appendix G. The decision endorses the Council’s position that there was inconclusive evidence to support the applicant’s claim for a lawful use.</w:t>
      </w:r>
    </w:p>
    <w:p w:rsidR="00356652" w:rsidRPr="00356652" w:rsidRDefault="00356652" w:rsidP="00356652">
      <w:pPr>
        <w:spacing w:after="200" w:line="276" w:lineRule="auto"/>
        <w:jc w:val="both"/>
        <w:rPr>
          <w:rFonts w:eastAsia="Calibri" w:cs="Arial"/>
          <w:b/>
          <w:sz w:val="24"/>
          <w:szCs w:val="24"/>
        </w:rPr>
      </w:pPr>
      <w:r w:rsidRPr="00356652">
        <w:rPr>
          <w:rFonts w:eastAsia="Calibri" w:cs="Arial"/>
          <w:sz w:val="24"/>
          <w:szCs w:val="24"/>
        </w:rPr>
        <w:t xml:space="preserve">     </w:t>
      </w:r>
      <w:r w:rsidR="008D331C">
        <w:rPr>
          <w:rFonts w:eastAsia="Calibri" w:cs="Arial"/>
          <w:sz w:val="24"/>
          <w:szCs w:val="24"/>
        </w:rPr>
        <w:tab/>
      </w:r>
      <w:r w:rsidRPr="00356652">
        <w:rPr>
          <w:rFonts w:eastAsia="Calibri" w:cs="Arial"/>
          <w:sz w:val="24"/>
          <w:szCs w:val="24"/>
        </w:rPr>
        <w:t xml:space="preserve"> </w:t>
      </w:r>
      <w:r w:rsidR="008D331C">
        <w:rPr>
          <w:rFonts w:eastAsia="Calibri" w:cs="Arial"/>
          <w:b/>
          <w:sz w:val="24"/>
          <w:szCs w:val="24"/>
        </w:rPr>
        <w:t>b</w:t>
      </w:r>
      <w:r w:rsidR="006C01A8">
        <w:rPr>
          <w:rFonts w:eastAsia="Calibri" w:cs="Arial"/>
          <w:b/>
          <w:sz w:val="24"/>
          <w:szCs w:val="24"/>
        </w:rPr>
        <w:t>)</w:t>
      </w:r>
      <w:r w:rsidR="006C01A8">
        <w:rPr>
          <w:rFonts w:eastAsia="Calibri" w:cs="Arial"/>
          <w:b/>
          <w:sz w:val="24"/>
          <w:szCs w:val="24"/>
        </w:rPr>
        <w:tab/>
      </w:r>
      <w:r w:rsidRPr="00356652">
        <w:rPr>
          <w:rFonts w:eastAsia="Calibri" w:cs="Arial"/>
          <w:b/>
          <w:sz w:val="24"/>
          <w:szCs w:val="24"/>
        </w:rPr>
        <w:t>The Lakehouse, Nether Whitacre</w:t>
      </w:r>
    </w:p>
    <w:p w:rsidR="008F3992" w:rsidRPr="008D331C" w:rsidRDefault="00356652" w:rsidP="008D331C">
      <w:pPr>
        <w:spacing w:after="200"/>
        <w:ind w:left="1440"/>
        <w:jc w:val="both"/>
        <w:rPr>
          <w:rFonts w:eastAsia="Calibri" w:cs="Arial"/>
          <w:sz w:val="24"/>
          <w:szCs w:val="24"/>
        </w:rPr>
      </w:pPr>
      <w:r w:rsidRPr="00356652">
        <w:rPr>
          <w:rFonts w:eastAsia="Calibri" w:cs="Arial"/>
          <w:sz w:val="24"/>
          <w:szCs w:val="24"/>
        </w:rPr>
        <w:t>The Notice has been served and an appeal lodged.  This could be joined with the outstanding Certificate appeal on the same site to be he</w:t>
      </w:r>
      <w:r w:rsidR="008D331C">
        <w:rPr>
          <w:rFonts w:eastAsia="Calibri" w:cs="Arial"/>
          <w:sz w:val="24"/>
          <w:szCs w:val="24"/>
        </w:rPr>
        <w:t>ard at the end of January 2017.</w:t>
      </w:r>
    </w:p>
    <w:p w:rsidR="008F3992" w:rsidRPr="000778EB" w:rsidRDefault="008F3992">
      <w:pPr>
        <w:ind w:left="720" w:hanging="720"/>
        <w:jc w:val="both"/>
        <w:rPr>
          <w:sz w:val="24"/>
          <w:szCs w:val="24"/>
        </w:rPr>
      </w:pPr>
    </w:p>
    <w:p w:rsidR="00CA6F56" w:rsidRPr="000778EB" w:rsidRDefault="00CA6F56">
      <w:pPr>
        <w:ind w:left="720"/>
        <w:jc w:val="both"/>
        <w:rPr>
          <w:b/>
          <w:sz w:val="24"/>
          <w:szCs w:val="24"/>
        </w:rPr>
      </w:pPr>
      <w:r w:rsidRPr="000778EB">
        <w:rPr>
          <w:sz w:val="24"/>
          <w:szCs w:val="24"/>
        </w:rPr>
        <w:t>The Cont</w:t>
      </w:r>
      <w:r w:rsidR="008D331C">
        <w:rPr>
          <w:sz w:val="24"/>
          <w:szCs w:val="24"/>
        </w:rPr>
        <w:t xml:space="preserve">act Officer for this report is Jeff Brown </w:t>
      </w:r>
      <w:r w:rsidRPr="000778EB">
        <w:rPr>
          <w:sz w:val="24"/>
          <w:szCs w:val="24"/>
        </w:rPr>
        <w:t>(</w:t>
      </w:r>
      <w:r w:rsidR="008D331C">
        <w:rPr>
          <w:sz w:val="24"/>
          <w:szCs w:val="24"/>
        </w:rPr>
        <w:t>719</w:t>
      </w:r>
      <w:r w:rsidR="00CB6538">
        <w:rPr>
          <w:sz w:val="24"/>
          <w:szCs w:val="24"/>
        </w:rPr>
        <w:t>310</w:t>
      </w:r>
      <w:r w:rsidRPr="000778EB">
        <w:rPr>
          <w:sz w:val="24"/>
          <w:szCs w:val="24"/>
        </w:rPr>
        <w:t>).</w:t>
      </w:r>
    </w:p>
    <w:p w:rsidR="00CA6F56" w:rsidRDefault="00CA6F56">
      <w:pPr>
        <w:ind w:left="1440" w:hanging="720"/>
        <w:jc w:val="both"/>
        <w:rPr>
          <w:sz w:val="24"/>
          <w:szCs w:val="24"/>
        </w:rPr>
      </w:pPr>
    </w:p>
    <w:p w:rsidR="008F3992" w:rsidRDefault="008F3992" w:rsidP="00CB6538">
      <w:pPr>
        <w:jc w:val="both"/>
        <w:rPr>
          <w:sz w:val="24"/>
          <w:szCs w:val="24"/>
        </w:rPr>
      </w:pPr>
    </w:p>
    <w:p w:rsidR="008F3992" w:rsidRPr="000778EB" w:rsidRDefault="008F3992">
      <w:pPr>
        <w:ind w:left="1440" w:hanging="720"/>
        <w:jc w:val="both"/>
        <w:rPr>
          <w:sz w:val="24"/>
          <w:szCs w:val="24"/>
        </w:rPr>
      </w:pPr>
    </w:p>
    <w:p w:rsidR="00CA6F56" w:rsidRPr="00CB6538" w:rsidRDefault="00CA6F56">
      <w:pPr>
        <w:ind w:left="720" w:hanging="720"/>
        <w:jc w:val="center"/>
        <w:rPr>
          <w:b/>
          <w:sz w:val="24"/>
          <w:szCs w:val="24"/>
        </w:rPr>
      </w:pPr>
      <w:r w:rsidRPr="00CB6538">
        <w:rPr>
          <w:b/>
          <w:sz w:val="24"/>
          <w:szCs w:val="24"/>
        </w:rPr>
        <w:t>Background Papers</w:t>
      </w:r>
    </w:p>
    <w:p w:rsidR="00CA6F56" w:rsidRPr="00CB6538" w:rsidRDefault="00CA6F56">
      <w:pPr>
        <w:ind w:left="720" w:hanging="720"/>
        <w:jc w:val="center"/>
        <w:rPr>
          <w:b/>
          <w:sz w:val="24"/>
          <w:szCs w:val="24"/>
        </w:rPr>
      </w:pPr>
    </w:p>
    <w:p w:rsidR="00CA6F56" w:rsidRPr="00CB6538" w:rsidRDefault="00CA6F56">
      <w:pPr>
        <w:ind w:left="720" w:hanging="720"/>
        <w:jc w:val="center"/>
        <w:rPr>
          <w:sz w:val="24"/>
          <w:szCs w:val="24"/>
        </w:rPr>
      </w:pPr>
      <w:r w:rsidRPr="00CB6538">
        <w:rPr>
          <w:sz w:val="24"/>
          <w:szCs w:val="24"/>
        </w:rPr>
        <w:t>Local Government Act 1972 Section 100D, as substituted by the Local Government Act, 2000 Section 97</w:t>
      </w:r>
    </w:p>
    <w:p w:rsidR="00CA6F56" w:rsidRPr="00CB6538" w:rsidRDefault="00CA6F56">
      <w:pPr>
        <w:ind w:left="720" w:hanging="720"/>
        <w:jc w:val="cente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8"/>
        <w:gridCol w:w="2520"/>
        <w:gridCol w:w="3060"/>
        <w:gridCol w:w="1126"/>
      </w:tblGrid>
      <w:tr w:rsidR="00CA6F56" w:rsidRPr="00CB6538">
        <w:tc>
          <w:tcPr>
            <w:tcW w:w="2538" w:type="dxa"/>
          </w:tcPr>
          <w:p w:rsidR="00CA6F56" w:rsidRPr="00CB6538" w:rsidRDefault="00CA6F56">
            <w:pPr>
              <w:jc w:val="center"/>
              <w:rPr>
                <w:sz w:val="24"/>
                <w:szCs w:val="24"/>
              </w:rPr>
            </w:pPr>
            <w:r w:rsidRPr="00CB6538">
              <w:rPr>
                <w:sz w:val="24"/>
                <w:szCs w:val="24"/>
              </w:rPr>
              <w:t>Background Paper No</w:t>
            </w:r>
          </w:p>
        </w:tc>
        <w:tc>
          <w:tcPr>
            <w:tcW w:w="2520" w:type="dxa"/>
          </w:tcPr>
          <w:p w:rsidR="00CA6F56" w:rsidRPr="00CB6538" w:rsidRDefault="00CA6F56">
            <w:pPr>
              <w:jc w:val="center"/>
              <w:rPr>
                <w:sz w:val="24"/>
                <w:szCs w:val="24"/>
              </w:rPr>
            </w:pPr>
            <w:r w:rsidRPr="00CB6538">
              <w:rPr>
                <w:sz w:val="24"/>
                <w:szCs w:val="24"/>
              </w:rPr>
              <w:t>Author</w:t>
            </w:r>
          </w:p>
        </w:tc>
        <w:tc>
          <w:tcPr>
            <w:tcW w:w="3060" w:type="dxa"/>
          </w:tcPr>
          <w:p w:rsidR="00CA6F56" w:rsidRPr="00CB6538" w:rsidRDefault="00CA6F56">
            <w:pPr>
              <w:jc w:val="center"/>
              <w:rPr>
                <w:sz w:val="24"/>
                <w:szCs w:val="24"/>
              </w:rPr>
            </w:pPr>
            <w:r w:rsidRPr="00CB6538">
              <w:rPr>
                <w:sz w:val="24"/>
                <w:szCs w:val="24"/>
              </w:rPr>
              <w:t>Nature of Background Paper</w:t>
            </w:r>
          </w:p>
        </w:tc>
        <w:tc>
          <w:tcPr>
            <w:tcW w:w="1126" w:type="dxa"/>
          </w:tcPr>
          <w:p w:rsidR="00CA6F56" w:rsidRPr="00CB6538" w:rsidRDefault="00CA6F56">
            <w:pPr>
              <w:jc w:val="center"/>
              <w:rPr>
                <w:sz w:val="24"/>
                <w:szCs w:val="24"/>
              </w:rPr>
            </w:pPr>
            <w:r w:rsidRPr="00CB6538">
              <w:rPr>
                <w:sz w:val="24"/>
                <w:szCs w:val="24"/>
              </w:rPr>
              <w:t>Date</w:t>
            </w:r>
          </w:p>
        </w:tc>
      </w:tr>
      <w:tr w:rsidR="008F3992" w:rsidRPr="00CB6538">
        <w:tc>
          <w:tcPr>
            <w:tcW w:w="2538" w:type="dxa"/>
          </w:tcPr>
          <w:p w:rsidR="008F3992" w:rsidRPr="00CB6538" w:rsidRDefault="008F3992" w:rsidP="00D51320">
            <w:pPr>
              <w:jc w:val="center"/>
              <w:rPr>
                <w:color w:val="000000"/>
                <w:sz w:val="24"/>
                <w:szCs w:val="24"/>
              </w:rPr>
            </w:pPr>
          </w:p>
        </w:tc>
        <w:tc>
          <w:tcPr>
            <w:tcW w:w="2520" w:type="dxa"/>
          </w:tcPr>
          <w:p w:rsidR="008F3992" w:rsidRPr="00CB6538" w:rsidRDefault="008F3992" w:rsidP="00D51320">
            <w:pPr>
              <w:jc w:val="both"/>
              <w:rPr>
                <w:color w:val="000000"/>
                <w:sz w:val="24"/>
                <w:szCs w:val="24"/>
              </w:rPr>
            </w:pPr>
          </w:p>
        </w:tc>
        <w:tc>
          <w:tcPr>
            <w:tcW w:w="3060" w:type="dxa"/>
          </w:tcPr>
          <w:p w:rsidR="008F3992" w:rsidRPr="00CB6538" w:rsidRDefault="008F3992" w:rsidP="00D51320">
            <w:pPr>
              <w:jc w:val="both"/>
              <w:rPr>
                <w:color w:val="000000"/>
                <w:sz w:val="24"/>
                <w:szCs w:val="24"/>
              </w:rPr>
            </w:pPr>
          </w:p>
        </w:tc>
        <w:tc>
          <w:tcPr>
            <w:tcW w:w="1126" w:type="dxa"/>
          </w:tcPr>
          <w:p w:rsidR="008F3992" w:rsidRPr="00CB6538" w:rsidRDefault="008F3992" w:rsidP="00D51320">
            <w:pPr>
              <w:jc w:val="both"/>
              <w:rPr>
                <w:color w:val="000000"/>
                <w:sz w:val="24"/>
                <w:szCs w:val="24"/>
              </w:rPr>
            </w:pPr>
          </w:p>
        </w:tc>
      </w:tr>
    </w:tbl>
    <w:p w:rsidR="006076EA" w:rsidRPr="00CB6538" w:rsidRDefault="006076EA">
      <w:pPr>
        <w:rPr>
          <w:sz w:val="24"/>
          <w:szCs w:val="24"/>
        </w:rPr>
      </w:pPr>
    </w:p>
    <w:p w:rsidR="00B7536E" w:rsidRDefault="00B7536E" w:rsidP="006076EA">
      <w:pPr>
        <w:pStyle w:val="Title"/>
        <w:rPr>
          <w:sz w:val="24"/>
        </w:rPr>
      </w:pPr>
    </w:p>
    <w:p w:rsidR="008A26FA" w:rsidRDefault="008A26FA"/>
    <w:sectPr w:rsidR="008A26FA" w:rsidSect="00996C97">
      <w:headerReference w:type="default" r:id="rId9"/>
      <w:footerReference w:type="default" r:id="rId10"/>
      <w:pgSz w:w="11909" w:h="16834" w:code="9"/>
      <w:pgMar w:top="1440" w:right="1440" w:bottom="1440" w:left="1440" w:header="709" w:footer="709" w:gutter="0"/>
      <w:paperSrc w:first="257" w:other="25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27" w:rsidRDefault="00AE0D27">
      <w:r>
        <w:separator/>
      </w:r>
    </w:p>
  </w:endnote>
  <w:endnote w:type="continuationSeparator" w:id="0">
    <w:p w:rsidR="00AE0D27" w:rsidRDefault="00AE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C97" w:rsidRDefault="00996C97">
    <w:pPr>
      <w:pStyle w:val="Footer"/>
      <w:jc w:val="center"/>
    </w:pPr>
    <w:r>
      <w:t>8/</w:t>
    </w:r>
    <w:r>
      <w:fldChar w:fldCharType="begin"/>
    </w:r>
    <w:r>
      <w:instrText xml:space="preserve"> PAGE   \* MERGEFORMAT </w:instrText>
    </w:r>
    <w:r>
      <w:fldChar w:fldCharType="separate"/>
    </w:r>
    <w:r>
      <w:rPr>
        <w:noProof/>
      </w:rPr>
      <w:t>4</w:t>
    </w:r>
    <w:r>
      <w:rPr>
        <w:noProof/>
      </w:rPr>
      <w:fldChar w:fldCharType="end"/>
    </w:r>
  </w:p>
  <w:p w:rsidR="00996C97" w:rsidRDefault="00996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27" w:rsidRDefault="00AE0D27">
      <w:r>
        <w:separator/>
      </w:r>
    </w:p>
  </w:footnote>
  <w:footnote w:type="continuationSeparator" w:id="0">
    <w:p w:rsidR="00AE0D27" w:rsidRDefault="00AE0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56" w:rsidRDefault="00CA6F56">
    <w:pPr>
      <w:pStyle w:val="Header"/>
      <w:tabs>
        <w:tab w:val="clear" w:pos="4153"/>
        <w:tab w:val="clear" w:pos="8306"/>
      </w:tabs>
      <w:rPr>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BFCC3C0"/>
    <w:lvl w:ilvl="0">
      <w:start w:val="1"/>
      <w:numFmt w:val="decimal"/>
      <w:lvlText w:val="%1."/>
      <w:lvlJc w:val="left"/>
      <w:pPr>
        <w:tabs>
          <w:tab w:val="num" w:pos="926"/>
        </w:tabs>
        <w:ind w:left="926" w:hanging="360"/>
      </w:pPr>
    </w:lvl>
  </w:abstractNum>
  <w:abstractNum w:abstractNumId="1">
    <w:nsid w:val="04DF1C6C"/>
    <w:multiLevelType w:val="hybridMultilevel"/>
    <w:tmpl w:val="AD88E3B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2E180657"/>
    <w:multiLevelType w:val="multilevel"/>
    <w:tmpl w:val="E8826F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F533D32"/>
    <w:multiLevelType w:val="hybridMultilevel"/>
    <w:tmpl w:val="D0C46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2693001"/>
    <w:multiLevelType w:val="hybridMultilevel"/>
    <w:tmpl w:val="EFB8EF94"/>
    <w:lvl w:ilvl="0" w:tplc="36F24010">
      <w:start w:val="1"/>
      <w:numFmt w:val="lowerLetter"/>
      <w:lvlText w:val="%1)"/>
      <w:lvlJc w:val="left"/>
      <w:pPr>
        <w:ind w:left="4860" w:hanging="360"/>
      </w:pPr>
      <w:rPr>
        <w:rFonts w:hint="default"/>
      </w:rPr>
    </w:lvl>
    <w:lvl w:ilvl="1" w:tplc="08090019" w:tentative="1">
      <w:start w:val="1"/>
      <w:numFmt w:val="lowerLetter"/>
      <w:lvlText w:val="%2."/>
      <w:lvlJc w:val="left"/>
      <w:pPr>
        <w:ind w:left="5580" w:hanging="360"/>
      </w:pPr>
    </w:lvl>
    <w:lvl w:ilvl="2" w:tplc="0809001B" w:tentative="1">
      <w:start w:val="1"/>
      <w:numFmt w:val="lowerRoman"/>
      <w:lvlText w:val="%3."/>
      <w:lvlJc w:val="right"/>
      <w:pPr>
        <w:ind w:left="6300" w:hanging="180"/>
      </w:pPr>
    </w:lvl>
    <w:lvl w:ilvl="3" w:tplc="0809000F" w:tentative="1">
      <w:start w:val="1"/>
      <w:numFmt w:val="decimal"/>
      <w:lvlText w:val="%4."/>
      <w:lvlJc w:val="left"/>
      <w:pPr>
        <w:ind w:left="7020" w:hanging="360"/>
      </w:pPr>
    </w:lvl>
    <w:lvl w:ilvl="4" w:tplc="08090019" w:tentative="1">
      <w:start w:val="1"/>
      <w:numFmt w:val="lowerLetter"/>
      <w:lvlText w:val="%5."/>
      <w:lvlJc w:val="left"/>
      <w:pPr>
        <w:ind w:left="7740" w:hanging="360"/>
      </w:pPr>
    </w:lvl>
    <w:lvl w:ilvl="5" w:tplc="0809001B" w:tentative="1">
      <w:start w:val="1"/>
      <w:numFmt w:val="lowerRoman"/>
      <w:lvlText w:val="%6."/>
      <w:lvlJc w:val="right"/>
      <w:pPr>
        <w:ind w:left="8460" w:hanging="180"/>
      </w:pPr>
    </w:lvl>
    <w:lvl w:ilvl="6" w:tplc="0809000F" w:tentative="1">
      <w:start w:val="1"/>
      <w:numFmt w:val="decimal"/>
      <w:lvlText w:val="%7."/>
      <w:lvlJc w:val="left"/>
      <w:pPr>
        <w:ind w:left="9180" w:hanging="360"/>
      </w:pPr>
    </w:lvl>
    <w:lvl w:ilvl="7" w:tplc="08090019" w:tentative="1">
      <w:start w:val="1"/>
      <w:numFmt w:val="lowerLetter"/>
      <w:lvlText w:val="%8."/>
      <w:lvlJc w:val="left"/>
      <w:pPr>
        <w:ind w:left="9900" w:hanging="360"/>
      </w:pPr>
    </w:lvl>
    <w:lvl w:ilvl="8" w:tplc="0809001B" w:tentative="1">
      <w:start w:val="1"/>
      <w:numFmt w:val="lowerRoman"/>
      <w:lvlText w:val="%9."/>
      <w:lvlJc w:val="right"/>
      <w:pPr>
        <w:ind w:left="10620" w:hanging="180"/>
      </w:pPr>
    </w:lvl>
  </w:abstractNum>
  <w:abstractNum w:abstractNumId="5">
    <w:nsid w:val="3EBE506A"/>
    <w:multiLevelType w:val="hybridMultilevel"/>
    <w:tmpl w:val="E30E20C0"/>
    <w:lvl w:ilvl="0" w:tplc="78280B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451AD2"/>
    <w:multiLevelType w:val="hybridMultilevel"/>
    <w:tmpl w:val="62E8E5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71A2AE8"/>
    <w:multiLevelType w:val="hybridMultilevel"/>
    <w:tmpl w:val="9CA01FE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BB8"/>
    <w:rsid w:val="0005783B"/>
    <w:rsid w:val="000778EB"/>
    <w:rsid w:val="000B21FD"/>
    <w:rsid w:val="000B48B3"/>
    <w:rsid w:val="00156BF4"/>
    <w:rsid w:val="00197B49"/>
    <w:rsid w:val="00356652"/>
    <w:rsid w:val="00507B3E"/>
    <w:rsid w:val="005341EA"/>
    <w:rsid w:val="005544E6"/>
    <w:rsid w:val="005662FB"/>
    <w:rsid w:val="005E6912"/>
    <w:rsid w:val="00602AFC"/>
    <w:rsid w:val="006076EA"/>
    <w:rsid w:val="00616E74"/>
    <w:rsid w:val="006328DA"/>
    <w:rsid w:val="006C01A8"/>
    <w:rsid w:val="006D44D6"/>
    <w:rsid w:val="006F27AE"/>
    <w:rsid w:val="0073285F"/>
    <w:rsid w:val="008045DE"/>
    <w:rsid w:val="008255B6"/>
    <w:rsid w:val="00861B8B"/>
    <w:rsid w:val="0087072C"/>
    <w:rsid w:val="008A26FA"/>
    <w:rsid w:val="008D331C"/>
    <w:rsid w:val="008E4FA5"/>
    <w:rsid w:val="008F3992"/>
    <w:rsid w:val="009153A2"/>
    <w:rsid w:val="00937C9C"/>
    <w:rsid w:val="00944219"/>
    <w:rsid w:val="00996C97"/>
    <w:rsid w:val="009D2D5C"/>
    <w:rsid w:val="00A44D20"/>
    <w:rsid w:val="00AE0D27"/>
    <w:rsid w:val="00AE344A"/>
    <w:rsid w:val="00B00FAD"/>
    <w:rsid w:val="00B7536E"/>
    <w:rsid w:val="00B973C9"/>
    <w:rsid w:val="00BD6C32"/>
    <w:rsid w:val="00BE0666"/>
    <w:rsid w:val="00BE6C5D"/>
    <w:rsid w:val="00C657E2"/>
    <w:rsid w:val="00CA6F56"/>
    <w:rsid w:val="00CB6538"/>
    <w:rsid w:val="00CC6CE8"/>
    <w:rsid w:val="00D51320"/>
    <w:rsid w:val="00D63DB7"/>
    <w:rsid w:val="00DD3D28"/>
    <w:rsid w:val="00DE5A77"/>
    <w:rsid w:val="00E10D14"/>
    <w:rsid w:val="00E950C8"/>
    <w:rsid w:val="00ED1BB8"/>
    <w:rsid w:val="00EF4898"/>
    <w:rsid w:val="00F61930"/>
    <w:rsid w:val="00FE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ind w:left="5040"/>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center"/>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22"/>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ind w:left="720"/>
      <w:jc w:val="both"/>
    </w:pPr>
    <w:rPr>
      <w:b/>
    </w:rPr>
  </w:style>
  <w:style w:type="paragraph" w:styleId="BodyTextIndent">
    <w:name w:val="Body Text Indent"/>
    <w:basedOn w:val="Normal"/>
    <w:pPr>
      <w:ind w:left="342" w:hanging="342"/>
    </w:pPr>
  </w:style>
  <w:style w:type="paragraph" w:styleId="BalloonText">
    <w:name w:val="Balloon Text"/>
    <w:basedOn w:val="Normal"/>
    <w:semiHidden/>
    <w:rsid w:val="00616E74"/>
    <w:rPr>
      <w:rFonts w:ascii="Tahoma" w:hAnsi="Tahoma" w:cs="Tahoma"/>
      <w:sz w:val="16"/>
      <w:szCs w:val="16"/>
    </w:rPr>
  </w:style>
  <w:style w:type="paragraph" w:styleId="Title">
    <w:name w:val="Title"/>
    <w:basedOn w:val="Normal"/>
    <w:qFormat/>
    <w:rsid w:val="008A26FA"/>
    <w:pPr>
      <w:jc w:val="center"/>
    </w:pPr>
    <w:rPr>
      <w:b/>
      <w:bCs/>
      <w:szCs w:val="24"/>
      <w:lang w:val="en-US"/>
    </w:rPr>
  </w:style>
  <w:style w:type="character" w:customStyle="1" w:styleId="HeaderChar">
    <w:name w:val="Header Char"/>
    <w:link w:val="Header"/>
    <w:uiPriority w:val="99"/>
    <w:rsid w:val="00CB6538"/>
    <w:rPr>
      <w:rFonts w:ascii="Arial" w:hAnsi="Arial"/>
      <w:sz w:val="22"/>
      <w:lang w:eastAsia="en-US"/>
    </w:rPr>
  </w:style>
  <w:style w:type="character" w:customStyle="1" w:styleId="FooterChar">
    <w:name w:val="Footer Char"/>
    <w:link w:val="Footer"/>
    <w:uiPriority w:val="99"/>
    <w:rsid w:val="00996C97"/>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BCAF0-7970-4600-8833-E2E0463D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67F77B16.dotm</Template>
  <TotalTime>19</TotalTime>
  <Pages>4</Pages>
  <Words>1121</Words>
  <Characters>5751</Characters>
  <Application>Microsoft Office Word</Application>
  <DocSecurity>0</DocSecurity>
  <Lines>442</Lines>
  <Paragraphs>229</Paragraphs>
  <ScaleCrop>false</ScaleCrop>
  <HeadingPairs>
    <vt:vector size="2" baseType="variant">
      <vt:variant>
        <vt:lpstr>Title</vt:lpstr>
      </vt:variant>
      <vt:variant>
        <vt:i4>1</vt:i4>
      </vt:variant>
    </vt:vector>
  </HeadingPairs>
  <TitlesOfParts>
    <vt:vector size="1" baseType="lpstr">
      <vt:lpstr>Agenda Item No |</vt:lpstr>
    </vt:vector>
  </TitlesOfParts>
  <Company>North Warwickshire Borough Council</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No |</dc:title>
  <dc:subject/>
  <dc:creator>atonks</dc:creator>
  <cp:keywords/>
  <cp:lastModifiedBy>Brotherhood, June</cp:lastModifiedBy>
  <cp:revision>8</cp:revision>
  <cp:lastPrinted>2012-06-07T09:14:00Z</cp:lastPrinted>
  <dcterms:created xsi:type="dcterms:W3CDTF">2016-11-25T14:17:00Z</dcterms:created>
  <dcterms:modified xsi:type="dcterms:W3CDTF">2016-12-01T12:25:00Z</dcterms:modified>
</cp:coreProperties>
</file>